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B524B">
      <w:pP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pPr>
      <w:bookmarkStart w:id="3" w:name="_GoBack"/>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附件：</w:t>
      </w: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遴选文件</w:t>
      </w:r>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更正内容</w:t>
      </w:r>
    </w:p>
    <w:bookmarkEnd w:id="3"/>
    <w:tbl>
      <w:tblPr>
        <w:tblStyle w:val="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6597"/>
        <w:gridCol w:w="6597"/>
      </w:tblGrid>
      <w:tr w14:paraId="6384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05B2299">
            <w:pPr>
              <w:pStyle w:val="3"/>
              <w:keepNext w:val="0"/>
              <w:keepLines w:val="0"/>
              <w:widowControl/>
              <w:suppressLineNumbers w:val="0"/>
              <w:spacing w:before="0" w:beforeAutospacing="0" w:after="0" w:afterAutospacing="0" w:line="240" w:lineRule="auto"/>
              <w:ind w:right="0"/>
              <w:jc w:val="center"/>
              <w:textAlignment w:val="baseline"/>
              <w:rPr>
                <w:rFonts w:hint="default"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原遴选文件页码</w:t>
            </w:r>
          </w:p>
        </w:tc>
        <w:tc>
          <w:tcPr>
            <w:tcW w:w="2214" w:type="pct"/>
            <w:vAlign w:val="center"/>
          </w:tcPr>
          <w:p w14:paraId="4441F8E9">
            <w:pPr>
              <w:pStyle w:val="3"/>
              <w:keepNext w:val="0"/>
              <w:keepLines w:val="0"/>
              <w:widowControl/>
              <w:suppressLineNumbers w:val="0"/>
              <w:spacing w:before="0" w:beforeAutospacing="0" w:after="0" w:afterAutospacing="0" w:line="240" w:lineRule="auto"/>
              <w:ind w:right="0"/>
              <w:jc w:val="center"/>
              <w:textAlignment w:val="baseline"/>
              <w:rPr>
                <w:rFonts w:hint="default"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更正前内容</w:t>
            </w:r>
          </w:p>
        </w:tc>
        <w:tc>
          <w:tcPr>
            <w:tcW w:w="2214" w:type="pct"/>
            <w:vAlign w:val="center"/>
          </w:tcPr>
          <w:p w14:paraId="2B54CA72">
            <w:pPr>
              <w:pStyle w:val="3"/>
              <w:keepNext w:val="0"/>
              <w:keepLines w:val="0"/>
              <w:widowControl/>
              <w:suppressLineNumbers w:val="0"/>
              <w:spacing w:before="0" w:beforeAutospacing="0" w:after="0" w:afterAutospacing="0" w:line="240" w:lineRule="auto"/>
              <w:ind w:right="0"/>
              <w:jc w:val="center"/>
              <w:textAlignment w:val="baseline"/>
              <w:rPr>
                <w:rFonts w:hint="default"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更正后内容</w:t>
            </w:r>
          </w:p>
        </w:tc>
      </w:tr>
      <w:tr w14:paraId="24BA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513C46D8">
            <w:pPr>
              <w:pStyle w:val="3"/>
              <w:keepNext w:val="0"/>
              <w:keepLines w:val="0"/>
              <w:widowControl/>
              <w:suppressLineNumbers w:val="0"/>
              <w:spacing w:before="0" w:beforeAutospacing="0" w:after="0" w:afterAutospacing="0" w:line="240" w:lineRule="auto"/>
              <w:ind w:right="0"/>
              <w:jc w:val="center"/>
              <w:textAlignment w:val="baseline"/>
              <w:rPr>
                <w:rFonts w:hint="default"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第10页</w:t>
            </w:r>
          </w:p>
        </w:tc>
        <w:tc>
          <w:tcPr>
            <w:tcW w:w="2214" w:type="pct"/>
            <w:vAlign w:val="center"/>
          </w:tcPr>
          <w:p w14:paraId="5FF0D748">
            <w:pPr>
              <w:pStyle w:val="3"/>
              <w:keepNext w:val="0"/>
              <w:keepLines w:val="0"/>
              <w:widowControl/>
              <w:suppressLineNumbers w:val="0"/>
              <w:spacing w:before="0" w:beforeAutospacing="0" w:after="0" w:afterAutospacing="0" w:line="240" w:lineRule="auto"/>
              <w:ind w:right="0"/>
              <w:jc w:val="left"/>
              <w:textAlignment w:val="baseline"/>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1)★医用耗材必须经国家医疗保障信息平台药品和医用耗材招采管理子系统（以下简称“新招采子系统”）签约采购，根据新招采子系统管理规定签订合同。医用耗材的中选单价作为日后供货价上限，供货期内，如遇国家省市等政府集采、交易平台价格下调等各种政策原因，供货价应无条件同步下调，以最终供货价进行结算。如遇国家调整幅度过大，按中选价格经营困难，中选人可提出申请书，经双方同意后方可调整。按采购人的要求分批供货，具体采购数量和时间以采购人和中选人双方确认为准。（须响应或提供承诺函加盖参选人公章）</w:t>
            </w:r>
          </w:p>
        </w:tc>
        <w:tc>
          <w:tcPr>
            <w:tcW w:w="2214" w:type="pct"/>
            <w:vAlign w:val="center"/>
          </w:tcPr>
          <w:p w14:paraId="37E14DE3">
            <w:pPr>
              <w:pStyle w:val="3"/>
              <w:keepNext w:val="0"/>
              <w:keepLines w:val="0"/>
              <w:widowControl/>
              <w:suppressLineNumbers w:val="0"/>
              <w:spacing w:before="0" w:beforeAutospacing="0" w:after="0" w:afterAutospacing="0" w:line="240" w:lineRule="auto"/>
              <w:ind w:right="0"/>
              <w:jc w:val="left"/>
              <w:textAlignment w:val="baseline"/>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1)★本次遴选清单中品种如采购人目前为国家医疗保障信息平台药品和医用耗材招采管理子系统线上采购品种</w:t>
            </w: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则在本项目服务期内，中选人可继续按照采购人实际要求实行平台线上采购。医用耗材的中选单价作为日后供货价上限，供货期内，如遇国家省市等政府集采、交易平台价格下调等各种政策原因，供货价应无条件同步下调，以最终供货价进行结算。如遇国家调整幅度过大，按中选价格经营困难，中选人可提出申请书，经双方同意后方可调整。按采购人的要求分批供货，具体采购数量和时间以采购人和中选人双方确认为准。（须响应或提供承诺函加盖参选人公章）</w:t>
            </w:r>
          </w:p>
        </w:tc>
      </w:tr>
      <w:tr w14:paraId="6A5C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967A1F8">
            <w:pPr>
              <w:pStyle w:val="3"/>
              <w:keepNext w:val="0"/>
              <w:keepLines w:val="0"/>
              <w:widowControl/>
              <w:suppressLineNumbers w:val="0"/>
              <w:spacing w:before="0" w:beforeAutospacing="0" w:after="0" w:afterAutospacing="0" w:line="240" w:lineRule="auto"/>
              <w:ind w:right="0"/>
              <w:jc w:val="center"/>
              <w:textAlignment w:val="baseline"/>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第</w:t>
            </w:r>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32</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页</w:t>
            </w:r>
          </w:p>
        </w:tc>
        <w:tc>
          <w:tcPr>
            <w:tcW w:w="2214" w:type="pct"/>
            <w:vAlign w:val="center"/>
          </w:tcPr>
          <w:p w14:paraId="5F438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leftChars="0" w:right="0" w:firstLine="0" w:firstLineChars="0"/>
              <w:jc w:val="left"/>
              <w:textAlignment w:val="baseline"/>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1、本项目按固定金额收取中选代理服务费，各包对应的服务费金额如下：</w:t>
            </w:r>
          </w:p>
          <w:p w14:paraId="7BF80A2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包1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0.50 </w:t>
            </w:r>
            <w:r>
              <w:rPr>
                <w:rFonts w:hint="eastAsia" w:ascii="宋体" w:hAnsi="宋体" w:eastAsia="宋体" w:cs="宋体"/>
                <w:color w:val="000000" w:themeColor="text1"/>
                <w:sz w:val="21"/>
                <w:szCs w:val="21"/>
                <w:highlight w:val="none"/>
                <w14:textFill>
                  <w14:solidFill>
                    <w14:schemeClr w14:val="tx1"/>
                  </w14:solidFill>
                </w14:textFill>
              </w:rPr>
              <w:t>万元</w:t>
            </w:r>
            <w:bookmarkStart w:id="0" w:name="OLE_LINK128"/>
            <w:r>
              <w:rPr>
                <w:rFonts w:hint="eastAsia" w:ascii="宋体" w:hAnsi="宋体" w:eastAsia="宋体" w:cs="宋体"/>
                <w:color w:val="000000" w:themeColor="text1"/>
                <w:sz w:val="21"/>
                <w:szCs w:val="21"/>
                <w:highlight w:val="none"/>
                <w:lang w:val="en-US" w:eastAsia="zh-CN"/>
                <w14:textFill>
                  <w14:solidFill>
                    <w14:schemeClr w14:val="tx1"/>
                  </w14:solidFill>
                </w14:textFill>
              </w:rPr>
              <w:t>；</w:t>
            </w:r>
            <w:bookmarkEnd w:id="0"/>
            <w:r>
              <w:rPr>
                <w:rFonts w:hint="eastAsia" w:ascii="宋体" w:hAnsi="宋体" w:eastAsia="宋体" w:cs="宋体"/>
                <w:color w:val="000000" w:themeColor="text1"/>
                <w:sz w:val="21"/>
                <w:szCs w:val="21"/>
                <w:highlight w:val="none"/>
                <w:lang w:val="en-US" w:eastAsia="zh-CN"/>
                <w14:textFill>
                  <w14:solidFill>
                    <w14:schemeClr w14:val="tx1"/>
                  </w14:solidFill>
                </w14:textFill>
              </w:rPr>
              <w:t>包2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0.15</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5.00</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bookmarkStart w:id="1" w:name="OLE_LINK101"/>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3.50</w:t>
            </w:r>
            <w:bookmarkEnd w:id="1"/>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3.50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1.50</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2.50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；包8</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3.00</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3.50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；包10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5.00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；包11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6.50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bookmarkStart w:id="2" w:name="OLE_LINK17"/>
            <w:r>
              <w:rPr>
                <w:rFonts w:hint="eastAsia" w:ascii="宋体" w:hAnsi="宋体" w:eastAsia="宋体" w:cs="宋体"/>
                <w:color w:val="000000" w:themeColor="text1"/>
                <w:sz w:val="21"/>
                <w:szCs w:val="21"/>
                <w:highlight w:val="none"/>
                <w:lang w:val="en-US" w:eastAsia="zh-CN"/>
                <w14:textFill>
                  <w14:solidFill>
                    <w14:schemeClr w14:val="tx1"/>
                  </w14:solidFill>
                </w14:textFill>
              </w:rPr>
              <w:t>；包12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8.00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万元</w:t>
            </w:r>
            <w:bookmarkEnd w:id="2"/>
            <w:r>
              <w:rPr>
                <w:rFonts w:hint="eastAsia" w:ascii="宋体" w:hAnsi="宋体" w:eastAsia="宋体" w:cs="宋体"/>
                <w:color w:val="000000" w:themeColor="text1"/>
                <w:sz w:val="21"/>
                <w:szCs w:val="21"/>
                <w:highlight w:val="none"/>
                <w:lang w:val="en-US" w:eastAsia="zh-CN"/>
                <w14:textFill>
                  <w14:solidFill>
                    <w14:schemeClr w14:val="tx1"/>
                  </w14:solidFill>
                </w14:textFill>
              </w:rPr>
              <w:t>；包13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8.00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万元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214" w:type="pct"/>
            <w:shd w:val="clear" w:color="auto" w:fill="auto"/>
            <w:vAlign w:val="center"/>
          </w:tcPr>
          <w:p w14:paraId="5C2469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leftChars="0" w:right="0" w:firstLine="0" w:firstLineChars="0"/>
              <w:jc w:val="left"/>
              <w:textAlignment w:val="baseline"/>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1、本项目按固定金额收取中选代理服务费，各包对应的服务费金额如下：</w:t>
            </w:r>
          </w:p>
          <w:p w14:paraId="5DF911F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aps w:val="0"/>
                <w:color w:val="000000" w:themeColor="text1"/>
                <w:spacing w:val="0"/>
                <w:kern w:val="2"/>
                <w:sz w:val="21"/>
                <w:szCs w:val="21"/>
                <w:shd w:val="clear" w:color="auto" w:fill="auto"/>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包1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0.45</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0.65</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1.50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1.30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75</w:t>
            </w:r>
            <w:r>
              <w:rPr>
                <w:rFonts w:hint="eastAsia" w:ascii="宋体" w:hAnsi="宋体" w:eastAsia="宋体" w:cs="宋体"/>
                <w:color w:val="000000" w:themeColor="text1"/>
                <w:sz w:val="21"/>
                <w:szCs w:val="21"/>
                <w:highlight w:val="none"/>
                <w:u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0.45</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；包8</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2.25</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0.40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；包10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2.38</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；包11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0.65</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；包12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1.80</w:t>
            </w:r>
            <w:r>
              <w:rPr>
                <w:rFonts w:hint="eastAsia" w:ascii="宋体" w:hAnsi="宋体" w:eastAsia="宋体" w:cs="宋体"/>
                <w:color w:val="000000" w:themeColor="text1"/>
                <w:sz w:val="21"/>
                <w:szCs w:val="21"/>
                <w:highlight w:val="none"/>
                <w:u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；包13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1.35</w:t>
            </w:r>
            <w:r>
              <w:rPr>
                <w:rFonts w:hint="eastAsia" w:ascii="宋体" w:hAnsi="宋体" w:eastAsia="宋体" w:cs="宋体"/>
                <w:color w:val="000000" w:themeColor="text1"/>
                <w:sz w:val="21"/>
                <w:szCs w:val="21"/>
                <w:highlight w:val="none"/>
                <w:u w:val="none"/>
                <w14:textFill>
                  <w14:solidFill>
                    <w14:schemeClr w14:val="tx1"/>
                  </w14:solidFill>
                </w14:textFill>
              </w:rPr>
              <w:t>万元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F6D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4B884BC5">
            <w:pPr>
              <w:pStyle w:val="3"/>
              <w:keepNext w:val="0"/>
              <w:keepLines w:val="0"/>
              <w:widowControl/>
              <w:suppressLineNumbers w:val="0"/>
              <w:spacing w:before="0" w:beforeAutospacing="0" w:after="0" w:afterAutospacing="0" w:line="240" w:lineRule="auto"/>
              <w:ind w:right="0"/>
              <w:jc w:val="center"/>
              <w:textAlignment w:val="baseline"/>
              <w:rPr>
                <w:rFonts w:hint="default"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第51页</w:t>
            </w:r>
          </w:p>
        </w:tc>
        <w:tc>
          <w:tcPr>
            <w:tcW w:w="2214" w:type="pct"/>
            <w:vAlign w:val="center"/>
          </w:tcPr>
          <w:p w14:paraId="2C36409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医用耗材必须经国家医疗保障信息平台药品和医用耗材招采管理子系统（以下简称“新招采子系统”）签约采购，根据新招采子系统管理规定签订合同。医用耗材的中选单价作为日后供货价上限，供货期内，如遇国家省市等政府集采、交易平台价格下调等各种政策原因，供货价应无条件同步下调，以最终供货价进行结算。如遇国家调整幅度过大，按中选价格经营困难，乙方可提出申请书，经双方同意后方可调整。按甲方的要求分批供货，具体采购数量和时间以甲方和乙方双方确认为准。</w:t>
            </w:r>
          </w:p>
        </w:tc>
        <w:tc>
          <w:tcPr>
            <w:tcW w:w="2214" w:type="pct"/>
            <w:shd w:val="clear" w:color="auto" w:fill="auto"/>
            <w:vAlign w:val="center"/>
          </w:tcPr>
          <w:p w14:paraId="2B7495F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本次遴选清单中品种如</w:t>
            </w: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甲方</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目前为国家医疗保障信息平台药品和医用耗材招采管理子系统线上采购品种</w:t>
            </w: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则在本项目服务期内，</w:t>
            </w: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乙方</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可继续按照</w:t>
            </w: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甲方</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实际要求实行平台线上采购。医用耗材的中选单价作为日后供货价上限，供货期内，如遇国家省市等政府集采、交易平台价格下调等各种政策原因，供货价应无条件同步下调，以最终供货价进行结算。如遇国家调整幅度过大，按中选价格经营困难，</w:t>
            </w: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乙方</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可提出申请书，经双方同意后方可调整。按</w:t>
            </w: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甲方</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的要求分批供货，具体采购数量和时间以</w:t>
            </w:r>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甲乙</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双方确认为准。</w:t>
            </w:r>
          </w:p>
        </w:tc>
      </w:tr>
      <w:tr w14:paraId="4810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2035921A">
            <w:pPr>
              <w:pStyle w:val="3"/>
              <w:keepNext w:val="0"/>
              <w:keepLines w:val="0"/>
              <w:widowControl/>
              <w:suppressLineNumbers w:val="0"/>
              <w:spacing w:before="0" w:beforeAutospacing="0" w:after="0" w:afterAutospacing="0" w:line="240" w:lineRule="auto"/>
              <w:ind w:right="0"/>
              <w:jc w:val="center"/>
              <w:textAlignment w:val="baseline"/>
              <w:rPr>
                <w:rFonts w:hint="default"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sz w:val="21"/>
                <w:szCs w:val="21"/>
                <w:shd w:val="clear" w:color="auto" w:fill="auto"/>
                <w:vertAlign w:val="baseline"/>
                <w:lang w:val="en-US" w:eastAsia="zh-CN"/>
                <w14:textFill>
                  <w14:solidFill>
                    <w14:schemeClr w14:val="tx1"/>
                  </w14:solidFill>
                </w14:textFill>
              </w:rPr>
              <w:t>第60页</w:t>
            </w:r>
          </w:p>
        </w:tc>
        <w:tc>
          <w:tcPr>
            <w:tcW w:w="2214" w:type="pct"/>
            <w:vAlign w:val="center"/>
          </w:tcPr>
          <w:p w14:paraId="0667135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医用耗材必须经国家医疗保障信息平台药品和医用耗材招采管理子系统（以下简称“新招采子系统”）签约采购，根据新招采子系统管理规定签订合同。供货期内，如遇国家省市等政府集采、交易平台价格下调等各种政策原因，供货价应无条件同步下调，以最终供货价进行结算。如遇国家调整幅度过大，按中选价格经营困难，中选人可提出申请书，经双方同意后方可调整。按采购人的要求分批供货，具体采购数量和时间以采购人和中选人双方确认为准。</w:t>
            </w:r>
          </w:p>
        </w:tc>
        <w:tc>
          <w:tcPr>
            <w:tcW w:w="2214" w:type="pct"/>
            <w:shd w:val="clear" w:color="auto" w:fill="auto"/>
            <w:vAlign w:val="center"/>
          </w:tcPr>
          <w:p w14:paraId="53BF22A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本次遴选清单中品种如采购人目前为国家医疗保障信息平台药品和医用耗材招采管理子系统线上采购品种</w:t>
            </w:r>
            <w:r>
              <w:rPr>
                <w:rFonts w:hint="eastAsia" w:ascii="宋体" w:hAnsi="宋体" w:eastAsia="宋体" w:cs="宋体"/>
                <w:caps w:val="0"/>
                <w:color w:val="000000" w:themeColor="text1"/>
                <w:spacing w:val="0"/>
                <w:sz w:val="21"/>
                <w:szCs w:val="21"/>
                <w:shd w:val="clear" w:color="auto" w:fill="auto"/>
                <w:vertAlign w:val="baseline"/>
                <w:lang w:eastAsia="zh-CN"/>
                <w14:textFill>
                  <w14:solidFill>
                    <w14:schemeClr w14:val="tx1"/>
                  </w14:solidFill>
                </w14:textFill>
              </w:rPr>
              <w:t>，</w:t>
            </w:r>
            <w:r>
              <w:rPr>
                <w:rFonts w:hint="eastAsia" w:ascii="宋体" w:hAnsi="宋体" w:eastAsia="宋体" w:cs="宋体"/>
                <w:caps w:val="0"/>
                <w:color w:val="000000" w:themeColor="text1"/>
                <w:spacing w:val="0"/>
                <w:sz w:val="21"/>
                <w:szCs w:val="21"/>
                <w:shd w:val="clear" w:color="auto" w:fill="auto"/>
                <w:vertAlign w:val="baseline"/>
                <w14:textFill>
                  <w14:solidFill>
                    <w14:schemeClr w14:val="tx1"/>
                  </w14:solidFill>
                </w14:textFill>
              </w:rPr>
              <w:t>则在本项目服务期内，中选人可继续按照采购人实际要求实行平台线上采购。医用耗材的中选单价作为日后供货价上限，供货期内，如遇国家省市等政府集采、交易平台价格下调等各种政策原因，供货价应无条件同步下调，以最终供货价进行结算。如遇国家调整幅度过大，按中选价格经营困难，中选人可提出申请书，经双方同意后方可调整。按采购人的要求分批供货，具体采购数量和时间以采购人和中选人双方确认为准。</w:t>
            </w:r>
          </w:p>
        </w:tc>
      </w:tr>
    </w:tbl>
    <w:p w14:paraId="57235D4C"/>
    <w:sectPr>
      <w:pgSz w:w="16838" w:h="11906" w:orient="landscape"/>
      <w:pgMar w:top="760" w:right="1098" w:bottom="426" w:left="10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C2EEF"/>
    <w:rsid w:val="05BC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2025-06-03T05:28:00Z</dcterms:created>
  <dc:creator>Administrator</dc:creator>
  <cp:lastModifiedBy>Administrator</cp:lastModifiedBy>
  <dcterms:modified xsi:type="dcterms:W3CDTF">2025-06-03T05:36:03Z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9EFF417079364C6E96E3152FDB75A7A0_11</vt:lpwstr>
  </property>
  <property fmtid="{D5CDD505-2E9C-101B-9397-08002B2CF9AE}" pid="4" name="KSOTemplateDocerSaveRecord">
    <vt:lpwstr>eyJoZGlkIjoiOGI4NTk0NTdhMzNlZWI0NjAwYmIwYjg0NzYyZWNhMTUifQ==</vt:lpwstr>
  </property>
</Properties>
</file>