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D5734" w14:textId="37534705" w:rsidR="00F33985" w:rsidRDefault="00F33985" w:rsidP="00C22389">
      <w:pPr>
        <w:pStyle w:val="null3"/>
        <w:jc w:val="both"/>
        <w:rPr>
          <w:rFonts w:ascii="宋体" w:eastAsia="宋体" w:hAnsi="宋体" w:hint="default"/>
          <w:b/>
          <w:sz w:val="21"/>
          <w:szCs w:val="21"/>
          <w:lang w:eastAsia="zh-CN"/>
        </w:rPr>
      </w:pPr>
      <w:r>
        <w:rPr>
          <w:rFonts w:ascii="宋体" w:eastAsia="宋体" w:hAnsi="宋体"/>
          <w:b/>
          <w:sz w:val="21"/>
          <w:szCs w:val="21"/>
          <w:lang w:eastAsia="zh-CN"/>
        </w:rPr>
        <w:t>附件1：</w:t>
      </w:r>
      <w:r w:rsidRPr="00F33985">
        <w:rPr>
          <w:rFonts w:ascii="宋体" w:eastAsia="宋体" w:hAnsi="宋体"/>
          <w:b/>
          <w:sz w:val="21"/>
          <w:szCs w:val="21"/>
          <w:lang w:eastAsia="zh-CN"/>
        </w:rPr>
        <w:t>服务标准及要求</w:t>
      </w:r>
    </w:p>
    <w:p w14:paraId="07D61787" w14:textId="384FB847" w:rsidR="00C22389" w:rsidRDefault="00C22389" w:rsidP="00C22389">
      <w:pPr>
        <w:pStyle w:val="null3"/>
        <w:jc w:val="both"/>
        <w:rPr>
          <w:rFonts w:ascii="宋体" w:eastAsia="宋体" w:hAnsi="宋体"/>
          <w:sz w:val="21"/>
          <w:szCs w:val="21"/>
        </w:rPr>
      </w:pPr>
      <w:r>
        <w:rPr>
          <w:rFonts w:ascii="宋体" w:eastAsia="宋体" w:hAnsi="宋体"/>
          <w:b/>
          <w:sz w:val="21"/>
          <w:szCs w:val="21"/>
        </w:rPr>
        <w:t>一、</w:t>
      </w:r>
      <w:r>
        <w:rPr>
          <w:rFonts w:ascii="宋体" w:eastAsia="宋体" w:hAnsi="宋体"/>
          <w:b/>
          <w:sz w:val="21"/>
          <w:szCs w:val="21"/>
          <w:lang w:eastAsia="zh-CN"/>
        </w:rPr>
        <w:t>服务</w:t>
      </w:r>
      <w:r>
        <w:rPr>
          <w:rFonts w:ascii="宋体" w:eastAsia="宋体" w:hAnsi="宋体"/>
          <w:b/>
          <w:sz w:val="21"/>
          <w:szCs w:val="21"/>
        </w:rPr>
        <w:t>内容</w:t>
      </w:r>
    </w:p>
    <w:p w14:paraId="3B51433A" w14:textId="77777777" w:rsidR="00C22389" w:rsidRDefault="00C22389" w:rsidP="00C22389">
      <w:pPr>
        <w:pStyle w:val="null3"/>
        <w:rPr>
          <w:rFonts w:ascii="宋体" w:eastAsia="宋体" w:hAnsi="宋体"/>
          <w:sz w:val="21"/>
          <w:szCs w:val="21"/>
        </w:rPr>
      </w:pPr>
      <w:r>
        <w:rPr>
          <w:rFonts w:ascii="宋体" w:eastAsia="宋体" w:hAnsi="宋体"/>
          <w:sz w:val="21"/>
          <w:szCs w:val="21"/>
        </w:rPr>
        <w:t>本期计划在</w:t>
      </w:r>
      <w:r>
        <w:rPr>
          <w:rFonts w:ascii="宋体" w:eastAsia="宋体" w:hAnsi="宋体"/>
          <w:sz w:val="21"/>
          <w:szCs w:val="21"/>
          <w:lang w:eastAsia="zh-CN"/>
        </w:rPr>
        <w:t>企石</w:t>
      </w:r>
      <w:r>
        <w:rPr>
          <w:rFonts w:ascii="宋体" w:eastAsia="宋体" w:hAnsi="宋体"/>
          <w:sz w:val="21"/>
          <w:szCs w:val="21"/>
        </w:rPr>
        <w:t>镇</w:t>
      </w:r>
      <w:r>
        <w:rPr>
          <w:rFonts w:ascii="宋体" w:eastAsia="宋体" w:hAnsi="宋体"/>
          <w:sz w:val="21"/>
          <w:szCs w:val="21"/>
          <w:lang w:eastAsia="zh-CN"/>
        </w:rPr>
        <w:t>对</w:t>
      </w:r>
      <w:r>
        <w:rPr>
          <w:rFonts w:ascii="宋体" w:eastAsia="宋体" w:hAnsi="宋体"/>
          <w:sz w:val="21"/>
          <w:szCs w:val="21"/>
        </w:rPr>
        <w:t>2094路</w:t>
      </w:r>
      <w:r>
        <w:rPr>
          <w:rFonts w:ascii="宋体" w:eastAsia="宋体" w:hAnsi="宋体"/>
          <w:sz w:val="21"/>
          <w:szCs w:val="21"/>
          <w:lang w:eastAsia="zh-CN"/>
        </w:rPr>
        <w:t>猫</w:t>
      </w:r>
      <w:r>
        <w:rPr>
          <w:rFonts w:ascii="宋体" w:eastAsia="宋体" w:hAnsi="宋体"/>
          <w:sz w:val="21"/>
          <w:szCs w:val="21"/>
        </w:rPr>
        <w:t>眼视频监控点</w:t>
      </w:r>
      <w:r>
        <w:rPr>
          <w:rFonts w:ascii="宋体" w:eastAsia="宋体" w:hAnsi="宋体"/>
          <w:sz w:val="21"/>
          <w:szCs w:val="21"/>
          <w:lang w:eastAsia="zh-CN"/>
        </w:rPr>
        <w:t>进行运维</w:t>
      </w:r>
      <w:r>
        <w:rPr>
          <w:rFonts w:ascii="宋体" w:eastAsia="宋体" w:hAnsi="宋体"/>
          <w:sz w:val="21"/>
          <w:szCs w:val="21"/>
        </w:rPr>
        <w:t>。确保猫眼</w:t>
      </w:r>
      <w:r>
        <w:rPr>
          <w:rFonts w:ascii="宋体" w:eastAsia="宋体" w:hAnsi="宋体"/>
          <w:sz w:val="21"/>
          <w:szCs w:val="21"/>
          <w:lang w:eastAsia="zh-CN"/>
        </w:rPr>
        <w:t>视频系统</w:t>
      </w:r>
      <w:r>
        <w:rPr>
          <w:rFonts w:ascii="宋体" w:eastAsia="宋体" w:hAnsi="宋体"/>
          <w:sz w:val="21"/>
          <w:szCs w:val="21"/>
        </w:rPr>
        <w:t>正常运行</w:t>
      </w:r>
      <w:r>
        <w:rPr>
          <w:rFonts w:ascii="宋体" w:eastAsia="宋体" w:hAnsi="宋体"/>
          <w:sz w:val="21"/>
          <w:szCs w:val="21"/>
          <w:lang w:eastAsia="zh-CN"/>
        </w:rPr>
        <w:t>。具体内容如下：</w:t>
      </w:r>
    </w:p>
    <w:tbl>
      <w:tblPr>
        <w:tblW w:w="8677" w:type="dxa"/>
        <w:tblInd w:w="93" w:type="dxa"/>
        <w:tblLook w:val="04A0" w:firstRow="1" w:lastRow="0" w:firstColumn="1" w:lastColumn="0" w:noHBand="0" w:noVBand="1"/>
      </w:tblPr>
      <w:tblGrid>
        <w:gridCol w:w="762"/>
        <w:gridCol w:w="5175"/>
        <w:gridCol w:w="1555"/>
        <w:gridCol w:w="1185"/>
      </w:tblGrid>
      <w:tr w:rsidR="00C22389" w14:paraId="4AD25A1B" w14:textId="77777777" w:rsidTr="00D84C0C">
        <w:trPr>
          <w:trHeight w:val="770"/>
        </w:trPr>
        <w:tc>
          <w:tcPr>
            <w:tcW w:w="762" w:type="dxa"/>
            <w:tcBorders>
              <w:top w:val="single" w:sz="8" w:space="0" w:color="000000"/>
              <w:left w:val="single" w:sz="8" w:space="0" w:color="000000"/>
              <w:bottom w:val="single" w:sz="8" w:space="0" w:color="000000"/>
              <w:right w:val="single" w:sz="8" w:space="0" w:color="000000"/>
            </w:tcBorders>
            <w:noWrap/>
            <w:vAlign w:val="center"/>
          </w:tcPr>
          <w:p w14:paraId="4EB693CC"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序号</w:t>
            </w:r>
          </w:p>
        </w:tc>
        <w:tc>
          <w:tcPr>
            <w:tcW w:w="5175" w:type="dxa"/>
            <w:tcBorders>
              <w:top w:val="single" w:sz="8" w:space="0" w:color="000000"/>
              <w:left w:val="nil"/>
              <w:bottom w:val="single" w:sz="8" w:space="0" w:color="000000"/>
              <w:right w:val="single" w:sz="8" w:space="0" w:color="000000"/>
            </w:tcBorders>
            <w:noWrap/>
            <w:vAlign w:val="center"/>
          </w:tcPr>
          <w:p w14:paraId="4D50E78E" w14:textId="77777777" w:rsidR="00C22389" w:rsidRDefault="00C22389" w:rsidP="00D84C0C">
            <w:pPr>
              <w:widowControl/>
              <w:ind w:firstLineChars="400" w:firstLine="800"/>
              <w:textAlignment w:val="bottom"/>
              <w:rPr>
                <w:rFonts w:ascii="宋体" w:eastAsia="宋体" w:hAnsi="宋体" w:cs="宋体" w:hint="eastAsia"/>
                <w:color w:val="000000"/>
                <w:sz w:val="20"/>
                <w:szCs w:val="20"/>
              </w:rPr>
            </w:pPr>
            <w:r>
              <w:rPr>
                <w:rFonts w:ascii="宋体" w:eastAsia="宋体" w:hAnsi="宋体" w:cs="宋体" w:hint="eastAsia"/>
                <w:color w:val="000000"/>
                <w:sz w:val="20"/>
                <w:szCs w:val="20"/>
              </w:rPr>
              <w:t>运维项目</w:t>
            </w:r>
          </w:p>
        </w:tc>
        <w:tc>
          <w:tcPr>
            <w:tcW w:w="1555" w:type="dxa"/>
            <w:tcBorders>
              <w:top w:val="single" w:sz="8" w:space="0" w:color="000000"/>
              <w:left w:val="nil"/>
              <w:bottom w:val="single" w:sz="8" w:space="0" w:color="000000"/>
              <w:right w:val="single" w:sz="8" w:space="0" w:color="000000"/>
            </w:tcBorders>
            <w:noWrap/>
            <w:vAlign w:val="center"/>
          </w:tcPr>
          <w:p w14:paraId="33D00263"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数量</w:t>
            </w:r>
          </w:p>
        </w:tc>
        <w:tc>
          <w:tcPr>
            <w:tcW w:w="1185" w:type="dxa"/>
            <w:tcBorders>
              <w:top w:val="single" w:sz="8" w:space="0" w:color="000000"/>
              <w:left w:val="nil"/>
              <w:bottom w:val="single" w:sz="8" w:space="0" w:color="000000"/>
              <w:right w:val="single" w:sz="8" w:space="0" w:color="000000"/>
            </w:tcBorders>
            <w:noWrap/>
            <w:vAlign w:val="center"/>
          </w:tcPr>
          <w:p w14:paraId="4DF85499"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单位</w:t>
            </w:r>
          </w:p>
        </w:tc>
      </w:tr>
      <w:tr w:rsidR="00C22389" w14:paraId="3294C9F3" w14:textId="77777777" w:rsidTr="00D84C0C">
        <w:trPr>
          <w:trHeight w:val="868"/>
        </w:trPr>
        <w:tc>
          <w:tcPr>
            <w:tcW w:w="762" w:type="dxa"/>
            <w:tcBorders>
              <w:top w:val="nil"/>
              <w:left w:val="single" w:sz="8" w:space="0" w:color="000000"/>
              <w:bottom w:val="single" w:sz="8" w:space="0" w:color="000000"/>
              <w:right w:val="single" w:sz="8" w:space="0" w:color="000000"/>
            </w:tcBorders>
            <w:noWrap/>
            <w:vAlign w:val="center"/>
          </w:tcPr>
          <w:p w14:paraId="02D7A690"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w:t>
            </w:r>
          </w:p>
        </w:tc>
        <w:tc>
          <w:tcPr>
            <w:tcW w:w="5175" w:type="dxa"/>
            <w:tcBorders>
              <w:top w:val="nil"/>
              <w:left w:val="nil"/>
              <w:bottom w:val="single" w:sz="8" w:space="0" w:color="000000"/>
              <w:right w:val="single" w:sz="8" w:space="0" w:color="000000"/>
            </w:tcBorders>
            <w:noWrap/>
            <w:vAlign w:val="center"/>
          </w:tcPr>
          <w:p w14:paraId="261D933E" w14:textId="77777777" w:rsidR="00C22389" w:rsidRDefault="00C22389" w:rsidP="00D84C0C">
            <w:pPr>
              <w:widowControl/>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猫眼前端摄像枪</w:t>
            </w:r>
          </w:p>
        </w:tc>
        <w:tc>
          <w:tcPr>
            <w:tcW w:w="1555" w:type="dxa"/>
            <w:tcBorders>
              <w:top w:val="nil"/>
              <w:left w:val="nil"/>
              <w:bottom w:val="single" w:sz="8" w:space="0" w:color="000000"/>
              <w:right w:val="single" w:sz="8" w:space="0" w:color="000000"/>
            </w:tcBorders>
            <w:noWrap/>
            <w:vAlign w:val="center"/>
          </w:tcPr>
          <w:p w14:paraId="57A67C74"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2094</w:t>
            </w:r>
          </w:p>
        </w:tc>
        <w:tc>
          <w:tcPr>
            <w:tcW w:w="1185" w:type="dxa"/>
            <w:tcBorders>
              <w:top w:val="nil"/>
              <w:left w:val="nil"/>
              <w:bottom w:val="single" w:sz="8" w:space="0" w:color="000000"/>
              <w:right w:val="single" w:sz="8" w:space="0" w:color="000000"/>
            </w:tcBorders>
            <w:noWrap/>
            <w:vAlign w:val="center"/>
          </w:tcPr>
          <w:p w14:paraId="29015133"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台</w:t>
            </w:r>
          </w:p>
        </w:tc>
      </w:tr>
      <w:tr w:rsidR="00C22389" w14:paraId="43CE52C1" w14:textId="77777777" w:rsidTr="00D84C0C">
        <w:trPr>
          <w:trHeight w:val="542"/>
        </w:trPr>
        <w:tc>
          <w:tcPr>
            <w:tcW w:w="762" w:type="dxa"/>
            <w:tcBorders>
              <w:top w:val="nil"/>
              <w:left w:val="single" w:sz="8" w:space="0" w:color="000000"/>
              <w:bottom w:val="single" w:sz="8" w:space="0" w:color="000000"/>
              <w:right w:val="single" w:sz="8" w:space="0" w:color="000000"/>
            </w:tcBorders>
            <w:noWrap/>
            <w:vAlign w:val="center"/>
          </w:tcPr>
          <w:p w14:paraId="11144081"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w:t>
            </w:r>
          </w:p>
        </w:tc>
        <w:tc>
          <w:tcPr>
            <w:tcW w:w="5175" w:type="dxa"/>
            <w:tcBorders>
              <w:top w:val="nil"/>
              <w:left w:val="single" w:sz="8" w:space="0" w:color="000000"/>
              <w:bottom w:val="single" w:sz="8" w:space="0" w:color="000000"/>
              <w:right w:val="single" w:sz="8" w:space="0" w:color="000000"/>
            </w:tcBorders>
            <w:noWrap/>
            <w:vAlign w:val="center"/>
          </w:tcPr>
          <w:p w14:paraId="50FB4471" w14:textId="77777777" w:rsidR="00C22389" w:rsidRDefault="00C22389" w:rsidP="00D84C0C">
            <w:pPr>
              <w:widowControl/>
              <w:jc w:val="left"/>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15天视频云存储服务</w:t>
            </w:r>
          </w:p>
        </w:tc>
        <w:tc>
          <w:tcPr>
            <w:tcW w:w="1555" w:type="dxa"/>
            <w:tcBorders>
              <w:top w:val="nil"/>
              <w:left w:val="nil"/>
              <w:bottom w:val="single" w:sz="8" w:space="0" w:color="000000"/>
              <w:right w:val="single" w:sz="8" w:space="0" w:color="000000"/>
            </w:tcBorders>
            <w:noWrap/>
            <w:vAlign w:val="center"/>
          </w:tcPr>
          <w:p w14:paraId="527D8A00"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2094</w:t>
            </w:r>
          </w:p>
        </w:tc>
        <w:tc>
          <w:tcPr>
            <w:tcW w:w="1185" w:type="dxa"/>
            <w:tcBorders>
              <w:top w:val="nil"/>
              <w:left w:val="single" w:sz="8" w:space="0" w:color="000000"/>
              <w:bottom w:val="single" w:sz="8" w:space="0" w:color="000000"/>
              <w:right w:val="single" w:sz="8" w:space="0" w:color="000000"/>
            </w:tcBorders>
            <w:noWrap/>
            <w:vAlign w:val="center"/>
          </w:tcPr>
          <w:p w14:paraId="352411DE"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路</w:t>
            </w:r>
          </w:p>
        </w:tc>
      </w:tr>
      <w:tr w:rsidR="00C22389" w14:paraId="1D7FDD86" w14:textId="77777777" w:rsidTr="00D84C0C">
        <w:trPr>
          <w:trHeight w:val="1285"/>
        </w:trPr>
        <w:tc>
          <w:tcPr>
            <w:tcW w:w="762" w:type="dxa"/>
            <w:tcBorders>
              <w:top w:val="nil"/>
              <w:left w:val="single" w:sz="8" w:space="0" w:color="000000"/>
              <w:bottom w:val="single" w:sz="8" w:space="0" w:color="000000"/>
              <w:right w:val="single" w:sz="8" w:space="0" w:color="000000"/>
            </w:tcBorders>
            <w:noWrap/>
            <w:vAlign w:val="center"/>
          </w:tcPr>
          <w:p w14:paraId="5D499F89"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3</w:t>
            </w:r>
          </w:p>
        </w:tc>
        <w:tc>
          <w:tcPr>
            <w:tcW w:w="5175" w:type="dxa"/>
            <w:tcBorders>
              <w:top w:val="nil"/>
              <w:left w:val="single" w:sz="8" w:space="0" w:color="000000"/>
              <w:bottom w:val="single" w:sz="8" w:space="0" w:color="000000"/>
              <w:right w:val="single" w:sz="8" w:space="0" w:color="000000"/>
            </w:tcBorders>
            <w:noWrap/>
            <w:vAlign w:val="center"/>
          </w:tcPr>
          <w:p w14:paraId="6C7A3A69" w14:textId="77777777" w:rsidR="00C22389" w:rsidRDefault="00C22389" w:rsidP="00D84C0C">
            <w:pPr>
              <w:widowControl/>
              <w:jc w:val="left"/>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前端箱体（含漏电开关、3位2+3电源排），配箱不小于50*100*200毫米，壁厚不小于0.8毫米；</w:t>
            </w:r>
          </w:p>
        </w:tc>
        <w:tc>
          <w:tcPr>
            <w:tcW w:w="1555" w:type="dxa"/>
            <w:tcBorders>
              <w:top w:val="nil"/>
              <w:left w:val="single" w:sz="8" w:space="0" w:color="000000"/>
              <w:bottom w:val="single" w:sz="8" w:space="0" w:color="000000"/>
              <w:right w:val="single" w:sz="8" w:space="0" w:color="000000"/>
            </w:tcBorders>
            <w:noWrap/>
            <w:vAlign w:val="center"/>
          </w:tcPr>
          <w:p w14:paraId="281FC0B6" w14:textId="77777777" w:rsidR="00C22389" w:rsidRDefault="00C22389" w:rsidP="00D84C0C">
            <w:pPr>
              <w:widowControl/>
              <w:jc w:val="center"/>
              <w:textAlignment w:val="top"/>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2094</w:t>
            </w:r>
          </w:p>
        </w:tc>
        <w:tc>
          <w:tcPr>
            <w:tcW w:w="1185" w:type="dxa"/>
            <w:tcBorders>
              <w:top w:val="nil"/>
              <w:left w:val="single" w:sz="8" w:space="0" w:color="000000"/>
              <w:bottom w:val="single" w:sz="8" w:space="0" w:color="000000"/>
              <w:right w:val="single" w:sz="8" w:space="0" w:color="000000"/>
            </w:tcBorders>
            <w:noWrap/>
            <w:vAlign w:val="center"/>
          </w:tcPr>
          <w:p w14:paraId="6530D59D"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个</w:t>
            </w:r>
          </w:p>
        </w:tc>
      </w:tr>
      <w:tr w:rsidR="00C22389" w14:paraId="00A961DC" w14:textId="77777777" w:rsidTr="00D84C0C">
        <w:trPr>
          <w:trHeight w:val="542"/>
        </w:trPr>
        <w:tc>
          <w:tcPr>
            <w:tcW w:w="762" w:type="dxa"/>
            <w:tcBorders>
              <w:top w:val="nil"/>
              <w:left w:val="single" w:sz="8" w:space="0" w:color="000000"/>
              <w:bottom w:val="single" w:sz="8" w:space="0" w:color="000000"/>
              <w:right w:val="single" w:sz="8" w:space="0" w:color="000000"/>
            </w:tcBorders>
            <w:noWrap/>
            <w:vAlign w:val="center"/>
          </w:tcPr>
          <w:p w14:paraId="4D623053"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4</w:t>
            </w:r>
          </w:p>
        </w:tc>
        <w:tc>
          <w:tcPr>
            <w:tcW w:w="5175" w:type="dxa"/>
            <w:tcBorders>
              <w:top w:val="nil"/>
              <w:left w:val="single" w:sz="8" w:space="0" w:color="000000"/>
              <w:bottom w:val="single" w:sz="8" w:space="0" w:color="000000"/>
              <w:right w:val="single" w:sz="8" w:space="0" w:color="000000"/>
            </w:tcBorders>
            <w:noWrap/>
            <w:vAlign w:val="center"/>
          </w:tcPr>
          <w:p w14:paraId="4AE4C767" w14:textId="77777777" w:rsidR="00C22389" w:rsidRDefault="00C22389" w:rsidP="00D84C0C">
            <w:pPr>
              <w:widowControl/>
              <w:jc w:val="left"/>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前端接入网络线路4M视频专线</w:t>
            </w:r>
          </w:p>
        </w:tc>
        <w:tc>
          <w:tcPr>
            <w:tcW w:w="1555" w:type="dxa"/>
            <w:tcBorders>
              <w:top w:val="nil"/>
              <w:left w:val="nil"/>
              <w:bottom w:val="single" w:sz="8" w:space="0" w:color="000000"/>
              <w:right w:val="single" w:sz="8" w:space="0" w:color="000000"/>
            </w:tcBorders>
            <w:noWrap/>
            <w:vAlign w:val="center"/>
          </w:tcPr>
          <w:p w14:paraId="45C29FCC"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2094</w:t>
            </w:r>
          </w:p>
        </w:tc>
        <w:tc>
          <w:tcPr>
            <w:tcW w:w="1185" w:type="dxa"/>
            <w:tcBorders>
              <w:top w:val="nil"/>
              <w:left w:val="single" w:sz="8" w:space="0" w:color="000000"/>
              <w:bottom w:val="single" w:sz="8" w:space="0" w:color="000000"/>
              <w:right w:val="single" w:sz="8" w:space="0" w:color="000000"/>
            </w:tcBorders>
            <w:noWrap/>
            <w:vAlign w:val="center"/>
          </w:tcPr>
          <w:p w14:paraId="567925BB"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条</w:t>
            </w:r>
          </w:p>
        </w:tc>
      </w:tr>
      <w:tr w:rsidR="00C22389" w14:paraId="3DB6D82E" w14:textId="77777777" w:rsidTr="00D84C0C">
        <w:trPr>
          <w:trHeight w:val="542"/>
        </w:trPr>
        <w:tc>
          <w:tcPr>
            <w:tcW w:w="762" w:type="dxa"/>
            <w:tcBorders>
              <w:top w:val="nil"/>
              <w:left w:val="single" w:sz="8" w:space="0" w:color="000000"/>
              <w:bottom w:val="single" w:sz="4" w:space="0" w:color="auto"/>
              <w:right w:val="single" w:sz="8" w:space="0" w:color="000000"/>
            </w:tcBorders>
            <w:noWrap/>
            <w:vAlign w:val="center"/>
          </w:tcPr>
          <w:p w14:paraId="7D1BF01D"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5</w:t>
            </w:r>
          </w:p>
        </w:tc>
        <w:tc>
          <w:tcPr>
            <w:tcW w:w="5175" w:type="dxa"/>
            <w:tcBorders>
              <w:top w:val="nil"/>
              <w:left w:val="single" w:sz="8" w:space="0" w:color="000000"/>
              <w:bottom w:val="nil"/>
              <w:right w:val="single" w:sz="8" w:space="0" w:color="000000"/>
            </w:tcBorders>
            <w:noWrap/>
            <w:vAlign w:val="center"/>
          </w:tcPr>
          <w:p w14:paraId="33D77569" w14:textId="77777777" w:rsidR="00C22389" w:rsidRDefault="00C22389" w:rsidP="00D84C0C">
            <w:pPr>
              <w:widowControl/>
              <w:jc w:val="left"/>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以太网光纤接入用户端设备（光猫）</w:t>
            </w:r>
          </w:p>
        </w:tc>
        <w:tc>
          <w:tcPr>
            <w:tcW w:w="1555" w:type="dxa"/>
            <w:tcBorders>
              <w:top w:val="nil"/>
              <w:left w:val="nil"/>
              <w:bottom w:val="nil"/>
              <w:right w:val="single" w:sz="8" w:space="0" w:color="000000"/>
            </w:tcBorders>
            <w:noWrap/>
            <w:vAlign w:val="center"/>
          </w:tcPr>
          <w:p w14:paraId="6BBFF94F"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2094</w:t>
            </w:r>
          </w:p>
        </w:tc>
        <w:tc>
          <w:tcPr>
            <w:tcW w:w="1185" w:type="dxa"/>
            <w:tcBorders>
              <w:top w:val="nil"/>
              <w:left w:val="single" w:sz="8" w:space="0" w:color="000000"/>
              <w:bottom w:val="nil"/>
              <w:right w:val="single" w:sz="8" w:space="0" w:color="000000"/>
            </w:tcBorders>
            <w:noWrap/>
            <w:vAlign w:val="center"/>
          </w:tcPr>
          <w:p w14:paraId="3ECC466F"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套</w:t>
            </w:r>
          </w:p>
        </w:tc>
      </w:tr>
      <w:tr w:rsidR="00C22389" w14:paraId="4656DC57" w14:textId="77777777" w:rsidTr="00D84C0C">
        <w:trPr>
          <w:trHeight w:val="523"/>
        </w:trPr>
        <w:tc>
          <w:tcPr>
            <w:tcW w:w="762" w:type="dxa"/>
            <w:tcBorders>
              <w:top w:val="single" w:sz="4" w:space="0" w:color="auto"/>
              <w:left w:val="single" w:sz="4" w:space="0" w:color="auto"/>
              <w:bottom w:val="single" w:sz="4" w:space="0" w:color="auto"/>
              <w:right w:val="single" w:sz="4" w:space="0" w:color="auto"/>
            </w:tcBorders>
            <w:noWrap/>
            <w:vAlign w:val="center"/>
          </w:tcPr>
          <w:p w14:paraId="2A903DF8" w14:textId="77777777" w:rsidR="00C22389" w:rsidRDefault="00C22389" w:rsidP="00D84C0C">
            <w:pPr>
              <w:widowControl/>
              <w:jc w:val="center"/>
              <w:textAlignment w:val="bottom"/>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6</w:t>
            </w:r>
          </w:p>
        </w:tc>
        <w:tc>
          <w:tcPr>
            <w:tcW w:w="5175" w:type="dxa"/>
            <w:tcBorders>
              <w:top w:val="single" w:sz="4" w:space="0" w:color="000000"/>
              <w:left w:val="single" w:sz="4" w:space="0" w:color="auto"/>
              <w:bottom w:val="single" w:sz="4" w:space="0" w:color="000000"/>
              <w:right w:val="single" w:sz="4" w:space="0" w:color="000000"/>
            </w:tcBorders>
            <w:noWrap/>
            <w:vAlign w:val="center"/>
          </w:tcPr>
          <w:p w14:paraId="7AA62417" w14:textId="77777777" w:rsidR="00C22389" w:rsidRDefault="00C22389" w:rsidP="00D84C0C">
            <w:pPr>
              <w:widowControl/>
              <w:jc w:val="left"/>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平台接入</w:t>
            </w:r>
            <w:r>
              <w:rPr>
                <w:rFonts w:ascii="仿宋" w:eastAsia="仿宋" w:hAnsi="仿宋" w:cs="仿宋" w:hint="eastAsia"/>
                <w:bCs/>
                <w:snapToGrid w:val="0"/>
                <w:kern w:val="0"/>
                <w:sz w:val="20"/>
                <w:szCs w:val="20"/>
              </w:rPr>
              <w:t>、</w:t>
            </w:r>
            <w:r>
              <w:rPr>
                <w:rFonts w:ascii="宋体" w:eastAsia="宋体" w:hAnsi="宋体" w:cs="宋体" w:hint="eastAsia"/>
                <w:color w:val="000000"/>
                <w:kern w:val="0"/>
                <w:sz w:val="20"/>
                <w:szCs w:val="20"/>
                <w:lang w:bidi="ar"/>
              </w:rPr>
              <w:t>使用服务</w:t>
            </w:r>
          </w:p>
        </w:tc>
        <w:tc>
          <w:tcPr>
            <w:tcW w:w="1555" w:type="dxa"/>
            <w:tcBorders>
              <w:top w:val="single" w:sz="4" w:space="0" w:color="000000"/>
              <w:left w:val="single" w:sz="4" w:space="0" w:color="000000"/>
              <w:bottom w:val="single" w:sz="4" w:space="0" w:color="000000"/>
              <w:right w:val="single" w:sz="4" w:space="0" w:color="000000"/>
            </w:tcBorders>
            <w:noWrap/>
            <w:vAlign w:val="center"/>
          </w:tcPr>
          <w:p w14:paraId="52C36DC1"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w:t>
            </w:r>
          </w:p>
        </w:tc>
        <w:tc>
          <w:tcPr>
            <w:tcW w:w="1185" w:type="dxa"/>
            <w:tcBorders>
              <w:top w:val="single" w:sz="4" w:space="0" w:color="000000"/>
              <w:left w:val="single" w:sz="4" w:space="0" w:color="000000"/>
              <w:bottom w:val="single" w:sz="4" w:space="0" w:color="000000"/>
              <w:right w:val="single" w:sz="4" w:space="0" w:color="000000"/>
            </w:tcBorders>
            <w:noWrap/>
            <w:vAlign w:val="center"/>
          </w:tcPr>
          <w:p w14:paraId="2E56786E"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项</w:t>
            </w:r>
          </w:p>
        </w:tc>
      </w:tr>
      <w:tr w:rsidR="00C22389" w14:paraId="1BBBC297" w14:textId="77777777" w:rsidTr="00D84C0C">
        <w:trPr>
          <w:trHeight w:val="523"/>
        </w:trPr>
        <w:tc>
          <w:tcPr>
            <w:tcW w:w="762" w:type="dxa"/>
            <w:tcBorders>
              <w:top w:val="single" w:sz="4" w:space="0" w:color="auto"/>
              <w:left w:val="single" w:sz="4" w:space="0" w:color="auto"/>
              <w:bottom w:val="single" w:sz="4" w:space="0" w:color="auto"/>
              <w:right w:val="single" w:sz="4" w:space="0" w:color="auto"/>
            </w:tcBorders>
            <w:noWrap/>
            <w:vAlign w:val="center"/>
          </w:tcPr>
          <w:p w14:paraId="0D4FE148" w14:textId="77777777" w:rsidR="00C22389" w:rsidRDefault="00C22389" w:rsidP="00D84C0C">
            <w:pPr>
              <w:widowControl/>
              <w:jc w:val="center"/>
              <w:textAlignment w:val="bottom"/>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7</w:t>
            </w:r>
          </w:p>
        </w:tc>
        <w:tc>
          <w:tcPr>
            <w:tcW w:w="5175" w:type="dxa"/>
            <w:tcBorders>
              <w:top w:val="single" w:sz="4" w:space="0" w:color="000000"/>
              <w:left w:val="single" w:sz="4" w:space="0" w:color="auto"/>
              <w:bottom w:val="single" w:sz="4" w:space="0" w:color="000000"/>
              <w:right w:val="single" w:sz="4" w:space="0" w:color="000000"/>
            </w:tcBorders>
            <w:noWrap/>
            <w:vAlign w:val="center"/>
          </w:tcPr>
          <w:p w14:paraId="4C823B4E" w14:textId="77777777" w:rsidR="00C22389" w:rsidRDefault="00C22389" w:rsidP="00D84C0C">
            <w:pPr>
              <w:widowControl/>
              <w:jc w:val="left"/>
              <w:textAlignment w:val="bottom"/>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日常运维服务</w:t>
            </w:r>
          </w:p>
        </w:tc>
        <w:tc>
          <w:tcPr>
            <w:tcW w:w="1555" w:type="dxa"/>
            <w:tcBorders>
              <w:top w:val="single" w:sz="4" w:space="0" w:color="000000"/>
              <w:left w:val="single" w:sz="4" w:space="0" w:color="000000"/>
              <w:bottom w:val="single" w:sz="4" w:space="0" w:color="000000"/>
              <w:right w:val="single" w:sz="4" w:space="0" w:color="000000"/>
            </w:tcBorders>
            <w:noWrap/>
            <w:vAlign w:val="center"/>
          </w:tcPr>
          <w:p w14:paraId="3B2A095C"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1</w:t>
            </w:r>
          </w:p>
        </w:tc>
        <w:tc>
          <w:tcPr>
            <w:tcW w:w="1185" w:type="dxa"/>
            <w:tcBorders>
              <w:top w:val="single" w:sz="4" w:space="0" w:color="000000"/>
              <w:left w:val="single" w:sz="4" w:space="0" w:color="000000"/>
              <w:bottom w:val="single" w:sz="4" w:space="0" w:color="000000"/>
              <w:right w:val="single" w:sz="4" w:space="0" w:color="000000"/>
            </w:tcBorders>
            <w:noWrap/>
            <w:vAlign w:val="center"/>
          </w:tcPr>
          <w:p w14:paraId="56B5E916" w14:textId="77777777" w:rsidR="00C22389" w:rsidRDefault="00C22389" w:rsidP="00D84C0C">
            <w:pPr>
              <w:widowControl/>
              <w:jc w:val="center"/>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项</w:t>
            </w:r>
          </w:p>
        </w:tc>
      </w:tr>
    </w:tbl>
    <w:p w14:paraId="685E2F5C" w14:textId="77777777" w:rsidR="00C22389" w:rsidRDefault="00C22389" w:rsidP="00C22389">
      <w:pPr>
        <w:pStyle w:val="null3"/>
        <w:jc w:val="both"/>
        <w:rPr>
          <w:rFonts w:ascii="宋体" w:eastAsia="宋体" w:hAnsi="宋体"/>
          <w:sz w:val="21"/>
          <w:szCs w:val="21"/>
        </w:rPr>
      </w:pPr>
      <w:r>
        <w:rPr>
          <w:rFonts w:ascii="宋体" w:eastAsia="宋体" w:hAnsi="宋体"/>
          <w:b/>
          <w:sz w:val="21"/>
          <w:szCs w:val="21"/>
        </w:rPr>
        <w:t>二、选点原则</w:t>
      </w:r>
    </w:p>
    <w:p w14:paraId="0FD5B249" w14:textId="004BC972" w:rsidR="005C5FF9" w:rsidRDefault="00C22389" w:rsidP="00C22389">
      <w:pPr>
        <w:rPr>
          <w:rFonts w:ascii="宋体" w:eastAsia="宋体" w:hAnsi="宋体"/>
          <w:szCs w:val="21"/>
        </w:rPr>
      </w:pPr>
      <w:r>
        <w:rPr>
          <w:rFonts w:ascii="宋体" w:eastAsia="宋体" w:hAnsi="宋体"/>
          <w:szCs w:val="21"/>
        </w:rPr>
        <w:t>针对沿街商铺、大排档、居民住宅等治安防控重点部位或者本辖区业务部门认为有必要安装的位置。</w:t>
      </w:r>
    </w:p>
    <w:p w14:paraId="4A6F4950" w14:textId="77777777" w:rsidR="00C22389" w:rsidRDefault="00C22389" w:rsidP="00C22389">
      <w:pPr>
        <w:pStyle w:val="null3"/>
        <w:rPr>
          <w:rFonts w:ascii="宋体" w:eastAsia="宋体" w:hAnsi="宋体"/>
          <w:b/>
          <w:sz w:val="21"/>
          <w:szCs w:val="21"/>
        </w:rPr>
      </w:pPr>
      <w:r>
        <w:rPr>
          <w:rFonts w:ascii="宋体" w:eastAsia="宋体" w:hAnsi="宋体"/>
          <w:b/>
          <w:sz w:val="21"/>
          <w:szCs w:val="21"/>
        </w:rPr>
        <w:t>三、安装要求</w:t>
      </w:r>
    </w:p>
    <w:p w14:paraId="2A5C5B3B" w14:textId="77777777" w:rsidR="00C22389" w:rsidRDefault="00C22389" w:rsidP="00C22389">
      <w:pPr>
        <w:pStyle w:val="null3"/>
        <w:rPr>
          <w:rFonts w:ascii="宋体" w:eastAsia="宋体" w:hAnsi="宋体"/>
          <w:sz w:val="21"/>
          <w:szCs w:val="21"/>
        </w:rPr>
      </w:pPr>
      <w:r>
        <w:rPr>
          <w:rFonts w:ascii="宋体" w:eastAsia="宋体" w:hAnsi="宋体"/>
          <w:sz w:val="21"/>
          <w:szCs w:val="21"/>
        </w:rPr>
        <w:t>摄像机高度和俯视角度主要避免一前一后人员经过通道时图片重叠产生遮挡，同时需要确保身高不同人员经过时正常抓拍。</w:t>
      </w:r>
    </w:p>
    <w:p w14:paraId="34249FC1" w14:textId="77777777" w:rsidR="00C22389" w:rsidRDefault="00C22389" w:rsidP="00C22389">
      <w:pPr>
        <w:pStyle w:val="null3"/>
        <w:rPr>
          <w:rFonts w:ascii="宋体" w:eastAsia="宋体" w:hAnsi="宋体"/>
          <w:sz w:val="21"/>
          <w:szCs w:val="21"/>
        </w:rPr>
      </w:pPr>
      <w:r>
        <w:rPr>
          <w:rFonts w:ascii="宋体" w:eastAsia="宋体" w:hAnsi="宋体"/>
          <w:sz w:val="21"/>
          <w:szCs w:val="21"/>
        </w:rPr>
        <w:t>前端摄像机安装在沿街商铺的室外，需考虑防水，监控画面向外，朝道路方向，另外根据现场安装环境进行摄像机的安装，有条件的位置依据推荐高度进行安装，并确保图片采集效果。</w:t>
      </w:r>
    </w:p>
    <w:p w14:paraId="7C11873A" w14:textId="77777777" w:rsidR="00C22389" w:rsidRDefault="00C22389" w:rsidP="00C22389">
      <w:pPr>
        <w:pStyle w:val="null3"/>
        <w:rPr>
          <w:rFonts w:ascii="宋体" w:eastAsia="宋体" w:hAnsi="宋体"/>
          <w:b/>
          <w:sz w:val="21"/>
          <w:szCs w:val="21"/>
        </w:rPr>
      </w:pPr>
      <w:r>
        <w:rPr>
          <w:rFonts w:ascii="宋体" w:eastAsia="宋体" w:hAnsi="宋体"/>
          <w:b/>
          <w:sz w:val="21"/>
          <w:szCs w:val="21"/>
          <w:lang w:eastAsia="zh-CN"/>
        </w:rPr>
        <w:t>四、</w:t>
      </w:r>
      <w:r>
        <w:rPr>
          <w:rFonts w:ascii="宋体" w:eastAsia="宋体" w:hAnsi="宋体"/>
          <w:b/>
          <w:sz w:val="21"/>
          <w:szCs w:val="21"/>
        </w:rPr>
        <w:t>安装推荐高度</w:t>
      </w:r>
    </w:p>
    <w:p w14:paraId="477DAD49" w14:textId="77777777" w:rsidR="00C22389" w:rsidRDefault="00C22389" w:rsidP="00C22389">
      <w:pPr>
        <w:pStyle w:val="null3"/>
        <w:rPr>
          <w:rFonts w:ascii="宋体" w:eastAsia="宋体" w:hAnsi="宋体"/>
          <w:sz w:val="21"/>
          <w:szCs w:val="21"/>
        </w:rPr>
      </w:pPr>
      <w:r>
        <w:rPr>
          <w:rFonts w:ascii="宋体" w:eastAsia="宋体" w:hAnsi="宋体"/>
          <w:sz w:val="21"/>
          <w:szCs w:val="21"/>
        </w:rPr>
        <w:t>同一型号的相机，镜头焦距、监控宽度的不同也决定了其不同的监控距离和摄像机架设要求。下面以同一款摄像机为例，根据不同的监控宽度提供了一些参数供查询。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1770"/>
        <w:gridCol w:w="1705"/>
        <w:gridCol w:w="1786"/>
        <w:gridCol w:w="1346"/>
      </w:tblGrid>
      <w:tr w:rsidR="00C22389" w14:paraId="3C4B5EFB" w14:textId="77777777" w:rsidTr="00C22389">
        <w:trPr>
          <w:trHeight w:hRule="exact" w:val="942"/>
          <w:tblHeader/>
          <w:jc w:val="center"/>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44FC7143"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监控宽度W（米）</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center"/>
          </w:tcPr>
          <w:p w14:paraId="2391EB43"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相机监控距离U(米)</w:t>
            </w:r>
          </w:p>
        </w:tc>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2FFB2D9A"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镜头焦距(mm)</w:t>
            </w:r>
          </w:p>
        </w:tc>
        <w:tc>
          <w:tcPr>
            <w:tcW w:w="1786" w:type="dxa"/>
            <w:tcBorders>
              <w:top w:val="single" w:sz="4" w:space="0" w:color="auto"/>
              <w:left w:val="single" w:sz="4" w:space="0" w:color="auto"/>
              <w:bottom w:val="single" w:sz="4" w:space="0" w:color="auto"/>
              <w:right w:val="single" w:sz="4" w:space="0" w:color="auto"/>
            </w:tcBorders>
            <w:shd w:val="clear" w:color="auto" w:fill="auto"/>
            <w:vAlign w:val="center"/>
          </w:tcPr>
          <w:p w14:paraId="521132A1"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相机架设高度</w:t>
            </w:r>
          </w:p>
          <w:p w14:paraId="78D0217A"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h（米）</w:t>
            </w:r>
          </w:p>
        </w:tc>
        <w:tc>
          <w:tcPr>
            <w:tcW w:w="1346" w:type="dxa"/>
            <w:tcBorders>
              <w:top w:val="single" w:sz="4" w:space="0" w:color="auto"/>
              <w:left w:val="single" w:sz="4" w:space="0" w:color="auto"/>
              <w:bottom w:val="single" w:sz="4" w:space="0" w:color="auto"/>
              <w:right w:val="single" w:sz="4" w:space="0" w:color="auto"/>
            </w:tcBorders>
            <w:shd w:val="clear" w:color="auto" w:fill="auto"/>
            <w:vAlign w:val="center"/>
          </w:tcPr>
          <w:p w14:paraId="63A1411A"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俯视角α（度）</w:t>
            </w:r>
          </w:p>
        </w:tc>
      </w:tr>
      <w:tr w:rsidR="00C22389" w14:paraId="370260F0" w14:textId="77777777" w:rsidTr="00C22389">
        <w:trPr>
          <w:trHeight w:hRule="exact" w:val="466"/>
          <w:jc w:val="center"/>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3287A989"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2</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center"/>
          </w:tcPr>
          <w:p w14:paraId="197FCB42"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3.3</w:t>
            </w:r>
          </w:p>
        </w:tc>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56A55853"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8</w:t>
            </w:r>
          </w:p>
        </w:tc>
        <w:tc>
          <w:tcPr>
            <w:tcW w:w="1786" w:type="dxa"/>
            <w:tcBorders>
              <w:top w:val="single" w:sz="4" w:space="0" w:color="auto"/>
              <w:left w:val="single" w:sz="4" w:space="0" w:color="auto"/>
              <w:bottom w:val="single" w:sz="4" w:space="0" w:color="auto"/>
              <w:right w:val="single" w:sz="4" w:space="0" w:color="auto"/>
            </w:tcBorders>
            <w:shd w:val="clear" w:color="auto" w:fill="auto"/>
            <w:vAlign w:val="center"/>
          </w:tcPr>
          <w:p w14:paraId="203A4E95"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2.3</w:t>
            </w:r>
          </w:p>
        </w:tc>
        <w:tc>
          <w:tcPr>
            <w:tcW w:w="1346" w:type="dxa"/>
            <w:tcBorders>
              <w:top w:val="single" w:sz="4" w:space="0" w:color="auto"/>
              <w:left w:val="single" w:sz="4" w:space="0" w:color="auto"/>
              <w:bottom w:val="single" w:sz="4" w:space="0" w:color="auto"/>
              <w:right w:val="single" w:sz="4" w:space="0" w:color="auto"/>
            </w:tcBorders>
            <w:shd w:val="clear" w:color="auto" w:fill="auto"/>
            <w:vAlign w:val="center"/>
          </w:tcPr>
          <w:p w14:paraId="77E56937"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10°</w:t>
            </w:r>
          </w:p>
        </w:tc>
      </w:tr>
      <w:tr w:rsidR="00C22389" w14:paraId="5307A61B" w14:textId="77777777" w:rsidTr="00C22389">
        <w:trPr>
          <w:trHeight w:hRule="exact" w:val="429"/>
          <w:jc w:val="center"/>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714D97B3"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2</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center"/>
          </w:tcPr>
          <w:p w14:paraId="48C196ED"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5</w:t>
            </w:r>
          </w:p>
        </w:tc>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45C7E753"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12</w:t>
            </w:r>
          </w:p>
        </w:tc>
        <w:tc>
          <w:tcPr>
            <w:tcW w:w="1786" w:type="dxa"/>
            <w:tcBorders>
              <w:top w:val="single" w:sz="4" w:space="0" w:color="auto"/>
              <w:left w:val="single" w:sz="4" w:space="0" w:color="auto"/>
              <w:bottom w:val="single" w:sz="4" w:space="0" w:color="auto"/>
              <w:right w:val="single" w:sz="4" w:space="0" w:color="auto"/>
            </w:tcBorders>
            <w:shd w:val="clear" w:color="auto" w:fill="auto"/>
            <w:vAlign w:val="center"/>
          </w:tcPr>
          <w:p w14:paraId="21024434"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2.6</w:t>
            </w:r>
          </w:p>
        </w:tc>
        <w:tc>
          <w:tcPr>
            <w:tcW w:w="1346" w:type="dxa"/>
            <w:tcBorders>
              <w:top w:val="single" w:sz="4" w:space="0" w:color="auto"/>
              <w:left w:val="single" w:sz="4" w:space="0" w:color="auto"/>
              <w:bottom w:val="single" w:sz="4" w:space="0" w:color="auto"/>
              <w:right w:val="single" w:sz="4" w:space="0" w:color="auto"/>
            </w:tcBorders>
            <w:shd w:val="clear" w:color="auto" w:fill="auto"/>
            <w:vAlign w:val="center"/>
          </w:tcPr>
          <w:p w14:paraId="6EFF4BB1"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10°</w:t>
            </w:r>
          </w:p>
        </w:tc>
      </w:tr>
      <w:tr w:rsidR="00C22389" w14:paraId="0D1CA121" w14:textId="77777777" w:rsidTr="00C22389">
        <w:trPr>
          <w:trHeight w:hRule="exact" w:val="424"/>
          <w:jc w:val="center"/>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677C4DB8"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2</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center"/>
          </w:tcPr>
          <w:p w14:paraId="26BE8BF9"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6.7</w:t>
            </w:r>
          </w:p>
        </w:tc>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770C9A28"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16</w:t>
            </w:r>
          </w:p>
        </w:tc>
        <w:tc>
          <w:tcPr>
            <w:tcW w:w="1786" w:type="dxa"/>
            <w:tcBorders>
              <w:top w:val="single" w:sz="4" w:space="0" w:color="auto"/>
              <w:left w:val="single" w:sz="4" w:space="0" w:color="auto"/>
              <w:bottom w:val="single" w:sz="4" w:space="0" w:color="auto"/>
              <w:right w:val="single" w:sz="4" w:space="0" w:color="auto"/>
            </w:tcBorders>
            <w:shd w:val="clear" w:color="auto" w:fill="auto"/>
            <w:vAlign w:val="center"/>
          </w:tcPr>
          <w:p w14:paraId="3982F468"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2.9</w:t>
            </w:r>
          </w:p>
        </w:tc>
        <w:tc>
          <w:tcPr>
            <w:tcW w:w="1346" w:type="dxa"/>
            <w:tcBorders>
              <w:top w:val="single" w:sz="4" w:space="0" w:color="auto"/>
              <w:left w:val="single" w:sz="4" w:space="0" w:color="auto"/>
              <w:bottom w:val="single" w:sz="4" w:space="0" w:color="auto"/>
              <w:right w:val="single" w:sz="4" w:space="0" w:color="auto"/>
            </w:tcBorders>
            <w:shd w:val="clear" w:color="auto" w:fill="auto"/>
            <w:vAlign w:val="center"/>
          </w:tcPr>
          <w:p w14:paraId="6FE707A1"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10°</w:t>
            </w:r>
          </w:p>
        </w:tc>
      </w:tr>
      <w:tr w:rsidR="00C22389" w14:paraId="44734C91" w14:textId="77777777" w:rsidTr="00C22389">
        <w:trPr>
          <w:trHeight w:hRule="exact" w:val="430"/>
          <w:jc w:val="center"/>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1E5E295C"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2</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center"/>
          </w:tcPr>
          <w:p w14:paraId="1D657502"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10.4</w:t>
            </w:r>
          </w:p>
        </w:tc>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5846853F"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25</w:t>
            </w:r>
          </w:p>
        </w:tc>
        <w:tc>
          <w:tcPr>
            <w:tcW w:w="1786" w:type="dxa"/>
            <w:tcBorders>
              <w:top w:val="single" w:sz="4" w:space="0" w:color="auto"/>
              <w:left w:val="single" w:sz="4" w:space="0" w:color="auto"/>
              <w:bottom w:val="single" w:sz="4" w:space="0" w:color="auto"/>
              <w:right w:val="single" w:sz="4" w:space="0" w:color="auto"/>
            </w:tcBorders>
            <w:shd w:val="clear" w:color="auto" w:fill="auto"/>
            <w:vAlign w:val="center"/>
          </w:tcPr>
          <w:p w14:paraId="2472B295"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3.5</w:t>
            </w:r>
          </w:p>
        </w:tc>
        <w:tc>
          <w:tcPr>
            <w:tcW w:w="1346" w:type="dxa"/>
            <w:tcBorders>
              <w:top w:val="single" w:sz="4" w:space="0" w:color="auto"/>
              <w:left w:val="single" w:sz="4" w:space="0" w:color="auto"/>
              <w:bottom w:val="single" w:sz="4" w:space="0" w:color="auto"/>
              <w:right w:val="single" w:sz="4" w:space="0" w:color="auto"/>
            </w:tcBorders>
            <w:shd w:val="clear" w:color="auto" w:fill="auto"/>
            <w:vAlign w:val="center"/>
          </w:tcPr>
          <w:p w14:paraId="5F39B8CC"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10°</w:t>
            </w:r>
          </w:p>
        </w:tc>
      </w:tr>
      <w:tr w:rsidR="00C22389" w14:paraId="3DDB6CBD" w14:textId="77777777" w:rsidTr="00C22389">
        <w:trPr>
          <w:trHeight w:hRule="exact" w:val="426"/>
          <w:jc w:val="center"/>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164D2414"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2</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center"/>
          </w:tcPr>
          <w:p w14:paraId="286DDF18"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14.6</w:t>
            </w:r>
          </w:p>
        </w:tc>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1A146EAB"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35</w:t>
            </w:r>
          </w:p>
        </w:tc>
        <w:tc>
          <w:tcPr>
            <w:tcW w:w="1786" w:type="dxa"/>
            <w:tcBorders>
              <w:top w:val="single" w:sz="4" w:space="0" w:color="auto"/>
              <w:left w:val="single" w:sz="4" w:space="0" w:color="auto"/>
              <w:bottom w:val="single" w:sz="4" w:space="0" w:color="auto"/>
              <w:right w:val="single" w:sz="4" w:space="0" w:color="auto"/>
            </w:tcBorders>
            <w:shd w:val="clear" w:color="auto" w:fill="auto"/>
            <w:vAlign w:val="center"/>
          </w:tcPr>
          <w:p w14:paraId="1CE64C86"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4.3</w:t>
            </w:r>
          </w:p>
        </w:tc>
        <w:tc>
          <w:tcPr>
            <w:tcW w:w="1346" w:type="dxa"/>
            <w:tcBorders>
              <w:top w:val="single" w:sz="4" w:space="0" w:color="auto"/>
              <w:left w:val="single" w:sz="4" w:space="0" w:color="auto"/>
              <w:bottom w:val="single" w:sz="4" w:space="0" w:color="auto"/>
              <w:right w:val="single" w:sz="4" w:space="0" w:color="auto"/>
            </w:tcBorders>
            <w:shd w:val="clear" w:color="auto" w:fill="auto"/>
            <w:vAlign w:val="center"/>
          </w:tcPr>
          <w:p w14:paraId="4A125F36"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10°</w:t>
            </w:r>
          </w:p>
        </w:tc>
      </w:tr>
      <w:tr w:rsidR="00C22389" w14:paraId="3C5027C4" w14:textId="77777777" w:rsidTr="00C22389">
        <w:trPr>
          <w:trHeight w:hRule="exact" w:val="427"/>
          <w:jc w:val="center"/>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25E76B80"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lastRenderedPageBreak/>
              <w:t>2.5</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center"/>
          </w:tcPr>
          <w:p w14:paraId="3A13C300"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4.2</w:t>
            </w:r>
          </w:p>
        </w:tc>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232CA501"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8</w:t>
            </w:r>
          </w:p>
        </w:tc>
        <w:tc>
          <w:tcPr>
            <w:tcW w:w="1786" w:type="dxa"/>
            <w:tcBorders>
              <w:top w:val="single" w:sz="4" w:space="0" w:color="auto"/>
              <w:left w:val="single" w:sz="4" w:space="0" w:color="auto"/>
              <w:bottom w:val="single" w:sz="4" w:space="0" w:color="auto"/>
              <w:right w:val="single" w:sz="4" w:space="0" w:color="auto"/>
            </w:tcBorders>
            <w:shd w:val="clear" w:color="auto" w:fill="auto"/>
            <w:vAlign w:val="center"/>
          </w:tcPr>
          <w:p w14:paraId="02C2CE37"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2.4</w:t>
            </w:r>
          </w:p>
        </w:tc>
        <w:tc>
          <w:tcPr>
            <w:tcW w:w="1346" w:type="dxa"/>
            <w:tcBorders>
              <w:top w:val="single" w:sz="4" w:space="0" w:color="auto"/>
              <w:left w:val="single" w:sz="4" w:space="0" w:color="auto"/>
              <w:bottom w:val="single" w:sz="4" w:space="0" w:color="auto"/>
              <w:right w:val="single" w:sz="4" w:space="0" w:color="auto"/>
            </w:tcBorders>
            <w:shd w:val="clear" w:color="auto" w:fill="auto"/>
            <w:vAlign w:val="center"/>
          </w:tcPr>
          <w:p w14:paraId="066DC5F6"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10°</w:t>
            </w:r>
          </w:p>
        </w:tc>
      </w:tr>
      <w:tr w:rsidR="00C22389" w14:paraId="62DE45B1" w14:textId="77777777" w:rsidTr="00C22389">
        <w:trPr>
          <w:trHeight w:hRule="exact" w:val="433"/>
          <w:jc w:val="center"/>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6A1259EA"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2.5</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center"/>
          </w:tcPr>
          <w:p w14:paraId="5D10611D"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6.3</w:t>
            </w:r>
          </w:p>
        </w:tc>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586A8015"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12</w:t>
            </w:r>
          </w:p>
        </w:tc>
        <w:tc>
          <w:tcPr>
            <w:tcW w:w="1786" w:type="dxa"/>
            <w:tcBorders>
              <w:top w:val="single" w:sz="4" w:space="0" w:color="auto"/>
              <w:left w:val="single" w:sz="4" w:space="0" w:color="auto"/>
              <w:bottom w:val="single" w:sz="4" w:space="0" w:color="auto"/>
              <w:right w:val="single" w:sz="4" w:space="0" w:color="auto"/>
            </w:tcBorders>
            <w:shd w:val="clear" w:color="auto" w:fill="auto"/>
            <w:vAlign w:val="center"/>
          </w:tcPr>
          <w:p w14:paraId="08C08AB6"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2.8</w:t>
            </w:r>
          </w:p>
        </w:tc>
        <w:tc>
          <w:tcPr>
            <w:tcW w:w="1346" w:type="dxa"/>
            <w:tcBorders>
              <w:top w:val="single" w:sz="4" w:space="0" w:color="auto"/>
              <w:left w:val="single" w:sz="4" w:space="0" w:color="auto"/>
              <w:bottom w:val="single" w:sz="4" w:space="0" w:color="auto"/>
              <w:right w:val="single" w:sz="4" w:space="0" w:color="auto"/>
            </w:tcBorders>
            <w:shd w:val="clear" w:color="auto" w:fill="auto"/>
            <w:vAlign w:val="center"/>
          </w:tcPr>
          <w:p w14:paraId="5D961CDD"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10°</w:t>
            </w:r>
          </w:p>
        </w:tc>
      </w:tr>
      <w:tr w:rsidR="00C22389" w14:paraId="79CED490" w14:textId="77777777" w:rsidTr="00C22389">
        <w:trPr>
          <w:trHeight w:hRule="exact" w:val="418"/>
          <w:jc w:val="center"/>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0424775D"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2.5</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center"/>
          </w:tcPr>
          <w:p w14:paraId="0603D905"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8.3</w:t>
            </w:r>
          </w:p>
        </w:tc>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5CA94B10"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16</w:t>
            </w:r>
          </w:p>
        </w:tc>
        <w:tc>
          <w:tcPr>
            <w:tcW w:w="1786" w:type="dxa"/>
            <w:tcBorders>
              <w:top w:val="single" w:sz="4" w:space="0" w:color="auto"/>
              <w:left w:val="single" w:sz="4" w:space="0" w:color="auto"/>
              <w:bottom w:val="single" w:sz="4" w:space="0" w:color="auto"/>
              <w:right w:val="single" w:sz="4" w:space="0" w:color="auto"/>
            </w:tcBorders>
            <w:shd w:val="clear" w:color="auto" w:fill="auto"/>
            <w:vAlign w:val="center"/>
          </w:tcPr>
          <w:p w14:paraId="65B19222"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3.2</w:t>
            </w:r>
          </w:p>
        </w:tc>
        <w:tc>
          <w:tcPr>
            <w:tcW w:w="1346" w:type="dxa"/>
            <w:tcBorders>
              <w:top w:val="single" w:sz="4" w:space="0" w:color="auto"/>
              <w:left w:val="single" w:sz="4" w:space="0" w:color="auto"/>
              <w:bottom w:val="single" w:sz="4" w:space="0" w:color="auto"/>
              <w:right w:val="single" w:sz="4" w:space="0" w:color="auto"/>
            </w:tcBorders>
            <w:shd w:val="clear" w:color="auto" w:fill="auto"/>
            <w:vAlign w:val="center"/>
          </w:tcPr>
          <w:p w14:paraId="683FFCB7"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10°</w:t>
            </w:r>
          </w:p>
        </w:tc>
      </w:tr>
      <w:tr w:rsidR="00C22389" w14:paraId="24F0B6E4" w14:textId="77777777" w:rsidTr="00C22389">
        <w:trPr>
          <w:trHeight w:hRule="exact" w:val="445"/>
          <w:jc w:val="center"/>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0EBDA196"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2.5</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center"/>
          </w:tcPr>
          <w:p w14:paraId="1BECA1FB"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13</w:t>
            </w:r>
          </w:p>
        </w:tc>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600ECD48"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25</w:t>
            </w:r>
          </w:p>
        </w:tc>
        <w:tc>
          <w:tcPr>
            <w:tcW w:w="1786" w:type="dxa"/>
            <w:tcBorders>
              <w:top w:val="single" w:sz="4" w:space="0" w:color="auto"/>
              <w:left w:val="single" w:sz="4" w:space="0" w:color="auto"/>
              <w:bottom w:val="single" w:sz="4" w:space="0" w:color="auto"/>
              <w:right w:val="single" w:sz="4" w:space="0" w:color="auto"/>
            </w:tcBorders>
            <w:shd w:val="clear" w:color="auto" w:fill="auto"/>
            <w:vAlign w:val="center"/>
          </w:tcPr>
          <w:p w14:paraId="32E63EB7"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4</w:t>
            </w:r>
          </w:p>
        </w:tc>
        <w:tc>
          <w:tcPr>
            <w:tcW w:w="1346" w:type="dxa"/>
            <w:tcBorders>
              <w:top w:val="single" w:sz="4" w:space="0" w:color="auto"/>
              <w:left w:val="single" w:sz="4" w:space="0" w:color="auto"/>
              <w:bottom w:val="single" w:sz="4" w:space="0" w:color="auto"/>
              <w:right w:val="single" w:sz="4" w:space="0" w:color="auto"/>
            </w:tcBorders>
            <w:shd w:val="clear" w:color="auto" w:fill="auto"/>
            <w:vAlign w:val="center"/>
          </w:tcPr>
          <w:p w14:paraId="4600BA1D"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10°</w:t>
            </w:r>
          </w:p>
        </w:tc>
      </w:tr>
      <w:tr w:rsidR="00C22389" w14:paraId="622D19D1" w14:textId="77777777" w:rsidTr="00C22389">
        <w:trPr>
          <w:trHeight w:hRule="exact" w:val="420"/>
          <w:jc w:val="center"/>
        </w:trPr>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41A4FFD3"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2.5</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center"/>
          </w:tcPr>
          <w:p w14:paraId="71F727ED"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18.2</w:t>
            </w:r>
          </w:p>
        </w:tc>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31C3ACFA"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35</w:t>
            </w:r>
          </w:p>
        </w:tc>
        <w:tc>
          <w:tcPr>
            <w:tcW w:w="1786" w:type="dxa"/>
            <w:tcBorders>
              <w:top w:val="single" w:sz="4" w:space="0" w:color="auto"/>
              <w:left w:val="single" w:sz="4" w:space="0" w:color="auto"/>
              <w:bottom w:val="single" w:sz="4" w:space="0" w:color="auto"/>
              <w:right w:val="single" w:sz="4" w:space="0" w:color="auto"/>
            </w:tcBorders>
            <w:shd w:val="clear" w:color="auto" w:fill="auto"/>
            <w:vAlign w:val="center"/>
          </w:tcPr>
          <w:p w14:paraId="3ACFD2A7"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4.9</w:t>
            </w:r>
          </w:p>
        </w:tc>
        <w:tc>
          <w:tcPr>
            <w:tcW w:w="1346" w:type="dxa"/>
            <w:tcBorders>
              <w:top w:val="single" w:sz="4" w:space="0" w:color="auto"/>
              <w:left w:val="single" w:sz="4" w:space="0" w:color="auto"/>
              <w:bottom w:val="single" w:sz="4" w:space="0" w:color="auto"/>
              <w:right w:val="single" w:sz="4" w:space="0" w:color="auto"/>
            </w:tcBorders>
            <w:shd w:val="clear" w:color="auto" w:fill="auto"/>
            <w:vAlign w:val="center"/>
          </w:tcPr>
          <w:p w14:paraId="51D136B8" w14:textId="77777777" w:rsidR="00C22389" w:rsidRDefault="00C22389" w:rsidP="00D84C0C">
            <w:pPr>
              <w:adjustRightInd w:val="0"/>
              <w:snapToGrid w:val="0"/>
              <w:spacing w:line="360" w:lineRule="auto"/>
              <w:jc w:val="left"/>
              <w:rPr>
                <w:rFonts w:ascii="宋体" w:eastAsia="宋体" w:hAnsi="宋体" w:hint="eastAsia"/>
                <w:kern w:val="0"/>
                <w:sz w:val="20"/>
                <w:szCs w:val="20"/>
                <w:lang w:eastAsia="zh-Hans"/>
              </w:rPr>
            </w:pPr>
            <w:r>
              <w:rPr>
                <w:rFonts w:ascii="宋体" w:eastAsia="宋体" w:hAnsi="宋体" w:hint="eastAsia"/>
                <w:kern w:val="0"/>
                <w:sz w:val="20"/>
                <w:szCs w:val="20"/>
                <w:lang w:eastAsia="zh-Hans"/>
              </w:rPr>
              <w:t>10°</w:t>
            </w:r>
          </w:p>
        </w:tc>
      </w:tr>
    </w:tbl>
    <w:p w14:paraId="7ABDE0EA" w14:textId="77777777" w:rsidR="00C22389" w:rsidRDefault="00C22389" w:rsidP="00C22389">
      <w:pPr>
        <w:pStyle w:val="null3"/>
        <w:rPr>
          <w:rFonts w:ascii="宋体" w:eastAsia="宋体" w:hAnsi="宋体"/>
          <w:sz w:val="21"/>
          <w:szCs w:val="21"/>
        </w:rPr>
      </w:pPr>
      <w:r>
        <w:rPr>
          <w:rFonts w:ascii="宋体" w:eastAsia="宋体" w:hAnsi="宋体"/>
          <w:sz w:val="21"/>
          <w:szCs w:val="21"/>
        </w:rPr>
        <w:t>鉴于社会面参与系统建设，前端摄像机选用高性价比设备，镜头以短焦距为主，安装高度宜控制在2.5米，监控距离宜控制在3.5米。</w:t>
      </w:r>
    </w:p>
    <w:p w14:paraId="616A715C" w14:textId="77777777" w:rsidR="00C22389" w:rsidRDefault="00C22389" w:rsidP="00C22389">
      <w:pPr>
        <w:pStyle w:val="null3"/>
        <w:rPr>
          <w:rFonts w:ascii="宋体" w:eastAsia="宋体" w:hAnsi="宋体"/>
          <w:b/>
          <w:sz w:val="21"/>
          <w:szCs w:val="21"/>
        </w:rPr>
      </w:pPr>
      <w:bookmarkStart w:id="0" w:name="_Toc17810"/>
      <w:r>
        <w:rPr>
          <w:rFonts w:ascii="宋体" w:eastAsia="宋体" w:hAnsi="宋体"/>
          <w:b/>
          <w:sz w:val="21"/>
          <w:szCs w:val="21"/>
          <w:lang w:eastAsia="zh-CN"/>
        </w:rPr>
        <w:t>五、</w:t>
      </w:r>
      <w:r>
        <w:rPr>
          <w:rFonts w:ascii="宋体" w:eastAsia="宋体" w:hAnsi="宋体"/>
          <w:b/>
          <w:sz w:val="21"/>
          <w:szCs w:val="21"/>
        </w:rPr>
        <w:t>光照要求</w:t>
      </w:r>
      <w:bookmarkEnd w:id="0"/>
    </w:p>
    <w:p w14:paraId="4366FD18" w14:textId="4B8BB61B" w:rsidR="00C22389" w:rsidRPr="00C22389" w:rsidRDefault="00C22389" w:rsidP="00C22389">
      <w:pPr>
        <w:rPr>
          <w:rFonts w:ascii="宋体" w:eastAsia="宋体" w:hAnsi="宋体"/>
          <w:szCs w:val="21"/>
        </w:rPr>
      </w:pPr>
      <w:r>
        <w:rPr>
          <w:rFonts w:ascii="宋体" w:eastAsia="宋体" w:hAnsi="宋体"/>
          <w:szCs w:val="21"/>
        </w:rPr>
        <w:t>建议行人面部区域正面光照强度100lux及以上（lux是光线的强度单位，可以通过测光仪在现场测量得到，参考值：50W的日光灯在2米处的照度约为200lux）；行人左右侧光照强度差不超过一倍；行人背面光照强度不超过正面光照强度的两倍；场景光照不达标时，宜要求商铺进行补光，但补光设备避免直射行人眼睛。</w:t>
      </w:r>
    </w:p>
    <w:p w14:paraId="686669F1" w14:textId="77777777" w:rsidR="004D5BFB" w:rsidRPr="004D5BFB" w:rsidRDefault="004D5BFB" w:rsidP="004D5BFB">
      <w:pPr>
        <w:rPr>
          <w:rFonts w:ascii="宋体" w:eastAsia="宋体" w:hAnsi="宋体" w:hint="eastAsia"/>
          <w:b/>
          <w:bCs/>
          <w:szCs w:val="21"/>
        </w:rPr>
      </w:pPr>
      <w:r w:rsidRPr="004D5BFB">
        <w:rPr>
          <w:rFonts w:ascii="宋体" w:eastAsia="宋体" w:hAnsi="宋体" w:hint="eastAsia"/>
          <w:b/>
          <w:bCs/>
          <w:szCs w:val="21"/>
        </w:rPr>
        <w:t>六、摄像机参数要求</w:t>
      </w:r>
    </w:p>
    <w:p w14:paraId="3BFB26A8" w14:textId="77777777" w:rsidR="004D5BFB" w:rsidRPr="004D5BFB" w:rsidRDefault="004D5BFB" w:rsidP="004D5BFB">
      <w:pPr>
        <w:rPr>
          <w:rFonts w:ascii="宋体" w:eastAsia="宋体" w:hAnsi="宋体" w:hint="eastAsia"/>
          <w:szCs w:val="21"/>
        </w:rPr>
      </w:pPr>
      <w:r w:rsidRPr="004D5BFB">
        <w:rPr>
          <w:rFonts w:ascii="宋体" w:eastAsia="宋体" w:hAnsi="宋体" w:hint="eastAsia"/>
          <w:szCs w:val="21"/>
        </w:rPr>
        <w:t>分辨率要求200 万像素或以上（1080P）；</w:t>
      </w:r>
    </w:p>
    <w:p w14:paraId="2D06C849" w14:textId="77777777" w:rsidR="004D5BFB" w:rsidRPr="004D5BFB" w:rsidRDefault="004D5BFB" w:rsidP="004D5BFB">
      <w:pPr>
        <w:rPr>
          <w:rFonts w:ascii="宋体" w:eastAsia="宋体" w:hAnsi="宋体" w:hint="eastAsia"/>
          <w:szCs w:val="21"/>
        </w:rPr>
      </w:pPr>
      <w:r w:rsidRPr="004D5BFB">
        <w:rPr>
          <w:rFonts w:ascii="宋体" w:eastAsia="宋体" w:hAnsi="宋体" w:hint="eastAsia"/>
          <w:szCs w:val="21"/>
        </w:rPr>
        <w:t>靶面（感光元件）要求尺寸在1/2.8或以上， CCD及CMOS皆可；</w:t>
      </w:r>
    </w:p>
    <w:p w14:paraId="783E5668" w14:textId="77777777" w:rsidR="004D5BFB" w:rsidRPr="004D5BFB" w:rsidRDefault="004D5BFB" w:rsidP="004D5BFB">
      <w:pPr>
        <w:rPr>
          <w:rFonts w:ascii="宋体" w:eastAsia="宋体" w:hAnsi="宋体" w:hint="eastAsia"/>
          <w:szCs w:val="21"/>
        </w:rPr>
      </w:pPr>
      <w:r w:rsidRPr="004D5BFB">
        <w:rPr>
          <w:rFonts w:ascii="宋体" w:eastAsia="宋体" w:hAnsi="宋体" w:hint="eastAsia"/>
          <w:szCs w:val="21"/>
        </w:rPr>
        <w:t>要求支持H.265、H.264 high编码以及RTSP流媒体协议；</w:t>
      </w:r>
    </w:p>
    <w:p w14:paraId="0A85D556" w14:textId="77777777" w:rsidR="004D5BFB" w:rsidRPr="004D5BFB" w:rsidRDefault="004D5BFB" w:rsidP="004D5BFB">
      <w:pPr>
        <w:rPr>
          <w:rFonts w:ascii="宋体" w:eastAsia="宋体" w:hAnsi="宋体" w:hint="eastAsia"/>
          <w:szCs w:val="21"/>
        </w:rPr>
      </w:pPr>
      <w:r w:rsidRPr="004D5BFB">
        <w:rPr>
          <w:rFonts w:ascii="宋体" w:eastAsia="宋体" w:hAnsi="宋体" w:hint="eastAsia"/>
          <w:szCs w:val="21"/>
        </w:rPr>
        <w:t>支持宽动态功能；</w:t>
      </w:r>
    </w:p>
    <w:p w14:paraId="4B55F9F7" w14:textId="77777777" w:rsidR="004D5BFB" w:rsidRPr="004D5BFB" w:rsidRDefault="004D5BFB" w:rsidP="004D5BFB">
      <w:pPr>
        <w:rPr>
          <w:rFonts w:ascii="宋体" w:eastAsia="宋体" w:hAnsi="宋体" w:hint="eastAsia"/>
          <w:szCs w:val="21"/>
        </w:rPr>
      </w:pPr>
      <w:r w:rsidRPr="004D5BFB">
        <w:rPr>
          <w:rFonts w:ascii="宋体" w:eastAsia="宋体" w:hAnsi="宋体" w:hint="eastAsia"/>
          <w:szCs w:val="21"/>
        </w:rPr>
        <w:t>视频压缩码率32 Kbps~16Mbps；</w:t>
      </w:r>
    </w:p>
    <w:p w14:paraId="3C635BA3" w14:textId="77777777" w:rsidR="004D5BFB" w:rsidRPr="004D5BFB" w:rsidRDefault="004D5BFB" w:rsidP="004D5BFB">
      <w:pPr>
        <w:rPr>
          <w:rFonts w:ascii="宋体" w:eastAsia="宋体" w:hAnsi="宋体" w:hint="eastAsia"/>
          <w:szCs w:val="21"/>
        </w:rPr>
      </w:pPr>
      <w:r w:rsidRPr="004D5BFB">
        <w:rPr>
          <w:rFonts w:ascii="宋体" w:eastAsia="宋体" w:hAnsi="宋体" w:hint="eastAsia"/>
          <w:szCs w:val="21"/>
        </w:rPr>
        <w:t>支持协议：GB28181、TCP/IP、FTP、HTTP等；</w:t>
      </w:r>
    </w:p>
    <w:p w14:paraId="4ABF4D10" w14:textId="77777777" w:rsidR="004D5BFB" w:rsidRPr="004D5BFB" w:rsidRDefault="004D5BFB" w:rsidP="004D5BFB">
      <w:pPr>
        <w:rPr>
          <w:rFonts w:ascii="宋体" w:eastAsia="宋体" w:hAnsi="宋体" w:hint="eastAsia"/>
          <w:szCs w:val="21"/>
        </w:rPr>
      </w:pPr>
      <w:r w:rsidRPr="004D5BFB">
        <w:rPr>
          <w:rFonts w:ascii="宋体" w:eastAsia="宋体" w:hAnsi="宋体" w:hint="eastAsia"/>
          <w:szCs w:val="21"/>
        </w:rPr>
        <w:t>图片支持断网续传（前端采用SD卡存储时需要支持此功能）；</w:t>
      </w:r>
    </w:p>
    <w:p w14:paraId="27FC3847" w14:textId="77777777" w:rsidR="004D5BFB" w:rsidRPr="004D5BFB" w:rsidRDefault="004D5BFB" w:rsidP="004D5BFB">
      <w:pPr>
        <w:rPr>
          <w:rFonts w:ascii="宋体" w:eastAsia="宋体" w:hAnsi="宋体" w:hint="eastAsia"/>
          <w:szCs w:val="21"/>
        </w:rPr>
      </w:pPr>
      <w:r w:rsidRPr="004D5BFB">
        <w:rPr>
          <w:rFonts w:ascii="宋体" w:eastAsia="宋体" w:hAnsi="宋体" w:hint="eastAsia"/>
          <w:szCs w:val="21"/>
        </w:rPr>
        <w:t>如果现场光照不理想，摄像头需要保证低照度下的成像质量（由实际现场情况判断）。</w:t>
      </w:r>
    </w:p>
    <w:p w14:paraId="1207D0FD" w14:textId="77777777" w:rsidR="004D5BFB" w:rsidRPr="004D5BFB" w:rsidRDefault="004D5BFB" w:rsidP="004D5BFB">
      <w:pPr>
        <w:rPr>
          <w:rFonts w:ascii="宋体" w:eastAsia="宋体" w:hAnsi="宋体" w:hint="eastAsia"/>
          <w:szCs w:val="21"/>
        </w:rPr>
      </w:pPr>
      <w:r w:rsidRPr="004D5BFB">
        <w:rPr>
          <w:rFonts w:ascii="宋体" w:eastAsia="宋体" w:hAnsi="宋体" w:hint="eastAsia"/>
          <w:szCs w:val="21"/>
        </w:rPr>
        <w:t>特有参数如下：</w:t>
      </w:r>
    </w:p>
    <w:p w14:paraId="50E9418A" w14:textId="77777777" w:rsidR="004D5BFB" w:rsidRPr="004D5BFB" w:rsidRDefault="004D5BFB" w:rsidP="004D5BFB">
      <w:pPr>
        <w:rPr>
          <w:rFonts w:ascii="宋体" w:eastAsia="宋体" w:hAnsi="宋体" w:hint="eastAsia"/>
          <w:szCs w:val="21"/>
        </w:rPr>
      </w:pPr>
      <w:r w:rsidRPr="004D5BFB">
        <w:rPr>
          <w:rFonts w:ascii="宋体" w:eastAsia="宋体" w:hAnsi="宋体" w:hint="eastAsia"/>
          <w:szCs w:val="21"/>
        </w:rPr>
        <w:t>支持对运动图片进行检测、跟踪、抓拍、评分、筛选，输出最优的图片抓图；</w:t>
      </w:r>
    </w:p>
    <w:p w14:paraId="1F843DDA" w14:textId="77777777" w:rsidR="004D5BFB" w:rsidRPr="004D5BFB" w:rsidRDefault="004D5BFB" w:rsidP="004D5BFB">
      <w:pPr>
        <w:rPr>
          <w:rFonts w:ascii="宋体" w:eastAsia="宋体" w:hAnsi="宋体" w:hint="eastAsia"/>
          <w:szCs w:val="21"/>
        </w:rPr>
      </w:pPr>
      <w:r w:rsidRPr="004D5BFB">
        <w:rPr>
          <w:rFonts w:ascii="宋体" w:eastAsia="宋体" w:hAnsi="宋体" w:hint="eastAsia"/>
          <w:szCs w:val="21"/>
        </w:rPr>
        <w:t>支持抓拍次数可设。</w:t>
      </w:r>
    </w:p>
    <w:p w14:paraId="2F458B32" w14:textId="77777777" w:rsidR="004D5BFB" w:rsidRPr="004D5BFB" w:rsidRDefault="004D5BFB" w:rsidP="004D5BFB">
      <w:pPr>
        <w:rPr>
          <w:rFonts w:ascii="宋体" w:eastAsia="宋体" w:hAnsi="宋体" w:hint="eastAsia"/>
          <w:b/>
          <w:bCs/>
          <w:szCs w:val="21"/>
        </w:rPr>
      </w:pPr>
      <w:r w:rsidRPr="004D5BFB">
        <w:rPr>
          <w:rFonts w:ascii="宋体" w:eastAsia="宋体" w:hAnsi="宋体" w:hint="eastAsia"/>
          <w:b/>
          <w:bCs/>
          <w:szCs w:val="21"/>
        </w:rPr>
        <w:t>七、汇聚转发系统运维</w:t>
      </w:r>
    </w:p>
    <w:p w14:paraId="19F9BD15" w14:textId="77777777" w:rsidR="004D5BFB" w:rsidRPr="004D5BFB" w:rsidRDefault="004D5BFB" w:rsidP="004D5BFB">
      <w:pPr>
        <w:rPr>
          <w:rFonts w:ascii="宋体" w:eastAsia="宋体" w:hAnsi="宋体" w:hint="eastAsia"/>
          <w:szCs w:val="21"/>
        </w:rPr>
      </w:pPr>
      <w:r w:rsidRPr="004D5BFB">
        <w:rPr>
          <w:rFonts w:ascii="宋体" w:eastAsia="宋体" w:hAnsi="宋体" w:hint="eastAsia"/>
          <w:szCs w:val="21"/>
        </w:rPr>
        <w:t>视频汇聚转发实现互联网视频接入，以及转发给各分局平台，通过GB28181实现互联互通。分局视频监控平台可按需调阅实时及历史视频，同时通过全市视频联网，市局“两网双平台”可进行调阅实时及历史视频。</w:t>
      </w:r>
    </w:p>
    <w:p w14:paraId="1CD77FC9" w14:textId="77777777" w:rsidR="004D5BFB" w:rsidRPr="004D5BFB" w:rsidRDefault="004D5BFB" w:rsidP="004D5BFB">
      <w:pPr>
        <w:rPr>
          <w:rFonts w:ascii="宋体" w:eastAsia="宋体" w:hAnsi="宋体" w:hint="eastAsia"/>
          <w:szCs w:val="21"/>
        </w:rPr>
      </w:pPr>
      <w:r w:rsidRPr="004D5BFB">
        <w:rPr>
          <w:rFonts w:ascii="宋体" w:eastAsia="宋体" w:hAnsi="宋体" w:hint="eastAsia"/>
          <w:szCs w:val="21"/>
        </w:rPr>
        <w:t>图片汇聚转发完成图片相关数据的接入，以及转发给图片存储系统，图片汇聚转发提供数据共享HTTP接口，图片抓拍机需要集成该接口，把图片及关联信息等数据上传。</w:t>
      </w:r>
    </w:p>
    <w:p w14:paraId="124DFB7E" w14:textId="77777777" w:rsidR="004D5BFB" w:rsidRPr="004D5BFB" w:rsidRDefault="004D5BFB" w:rsidP="004D5BFB">
      <w:pPr>
        <w:rPr>
          <w:rFonts w:ascii="宋体" w:eastAsia="宋体" w:hAnsi="宋体" w:hint="eastAsia"/>
          <w:b/>
          <w:bCs/>
          <w:szCs w:val="21"/>
        </w:rPr>
      </w:pPr>
      <w:r w:rsidRPr="004D5BFB">
        <w:rPr>
          <w:rFonts w:ascii="宋体" w:eastAsia="宋体" w:hAnsi="宋体" w:hint="eastAsia"/>
          <w:b/>
          <w:bCs/>
          <w:szCs w:val="21"/>
        </w:rPr>
        <w:t>八、存储系统运维</w:t>
      </w:r>
    </w:p>
    <w:p w14:paraId="54B5D076" w14:textId="77777777" w:rsidR="004D5BFB" w:rsidRPr="004D5BFB" w:rsidRDefault="004D5BFB" w:rsidP="004D5BFB">
      <w:pPr>
        <w:rPr>
          <w:rFonts w:ascii="宋体" w:eastAsia="宋体" w:hAnsi="宋体" w:hint="eastAsia"/>
          <w:szCs w:val="21"/>
        </w:rPr>
      </w:pPr>
      <w:r w:rsidRPr="004D5BFB">
        <w:rPr>
          <w:rFonts w:ascii="宋体" w:eastAsia="宋体" w:hAnsi="宋体" w:hint="eastAsia"/>
          <w:szCs w:val="21"/>
        </w:rPr>
        <w:t>存储系统包含视频存储和图片存储。</w:t>
      </w:r>
    </w:p>
    <w:p w14:paraId="5E0B27D7" w14:textId="77777777" w:rsidR="004D5BFB" w:rsidRPr="004D5BFB" w:rsidRDefault="004D5BFB" w:rsidP="004D5BFB">
      <w:pPr>
        <w:rPr>
          <w:rFonts w:ascii="宋体" w:eastAsia="宋体" w:hAnsi="宋体" w:hint="eastAsia"/>
          <w:szCs w:val="21"/>
        </w:rPr>
      </w:pPr>
      <w:r w:rsidRPr="004D5BFB">
        <w:rPr>
          <w:rFonts w:ascii="宋体" w:eastAsia="宋体" w:hAnsi="宋体" w:hint="eastAsia"/>
          <w:szCs w:val="21"/>
        </w:rPr>
        <w:t>1、视频存储有前端SD卡存储或云存储方式两种方式，如前端图片抓拍机配置SD卡存储，要求实现两周视频存储和三天的抓拍图片缓存；也可选用云存储进行后端存储，但前端要根据实际需求用SD卡补充存储，要求实现三天的图片、视频缓存；存储视频码流建议H.265，按照2Mbps，都可使用节约模式录像。</w:t>
      </w:r>
    </w:p>
    <w:p w14:paraId="19F4FFE1" w14:textId="6D044F4D" w:rsidR="00C22389" w:rsidRDefault="004D5BFB" w:rsidP="004D5BFB">
      <w:pPr>
        <w:rPr>
          <w:rFonts w:ascii="宋体" w:eastAsia="宋体" w:hAnsi="宋体"/>
          <w:szCs w:val="21"/>
        </w:rPr>
      </w:pPr>
      <w:r w:rsidRPr="004D5BFB">
        <w:rPr>
          <w:rFonts w:ascii="宋体" w:eastAsia="宋体" w:hAnsi="宋体" w:hint="eastAsia"/>
          <w:szCs w:val="21"/>
        </w:rPr>
        <w:t>2、图片存储根据存储时间进行配置，图片存储时间不低于15天，图片数据必须存储在视频专网。市局“猫眼”图片管理平台对图片存储系统进行统一管理（如权限控制），并可访问各分局采集的图片数据。</w:t>
      </w:r>
    </w:p>
    <w:p w14:paraId="5446B771" w14:textId="77777777" w:rsidR="00F019B0" w:rsidRPr="00F019B0" w:rsidRDefault="00F019B0" w:rsidP="00F019B0">
      <w:pPr>
        <w:rPr>
          <w:rFonts w:ascii="宋体" w:eastAsia="宋体" w:hAnsi="宋体" w:hint="eastAsia"/>
          <w:b/>
          <w:bCs/>
          <w:szCs w:val="21"/>
        </w:rPr>
      </w:pPr>
      <w:r w:rsidRPr="00F019B0">
        <w:rPr>
          <w:rFonts w:ascii="宋体" w:eastAsia="宋体" w:hAnsi="宋体" w:hint="eastAsia"/>
          <w:b/>
          <w:bCs/>
          <w:szCs w:val="21"/>
        </w:rPr>
        <w:lastRenderedPageBreak/>
        <w:t>九、传输网络运维</w:t>
      </w:r>
    </w:p>
    <w:p w14:paraId="37F84624"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1、采集链路要求</w:t>
      </w:r>
    </w:p>
    <w:p w14:paraId="4AA7A69F"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前端采集利用互联网链路进行数据传输，采用有线网络。</w:t>
      </w:r>
    </w:p>
    <w:p w14:paraId="1CB00FE9"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2、带宽要求</w:t>
      </w:r>
    </w:p>
    <w:p w14:paraId="295F1192"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图片前端采集设备上行带宽宜不低于4Mbps。</w:t>
      </w:r>
    </w:p>
    <w:p w14:paraId="3F31E328"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3、安全要求</w:t>
      </w:r>
    </w:p>
    <w:p w14:paraId="77E45C8E"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数据传输到视频专网，须通过防火墙和网闸（性能需考虑实际并发带宽，视频、图片通过网闸进入视频专网，另外图片通过防火墙和网闸延时性需满足业务的实战应用需求），确保有效隔离。</w:t>
      </w:r>
    </w:p>
    <w:p w14:paraId="0EBFAA6D" w14:textId="77777777" w:rsidR="00F019B0" w:rsidRPr="00F019B0" w:rsidRDefault="00F019B0" w:rsidP="00F019B0">
      <w:pPr>
        <w:rPr>
          <w:rFonts w:ascii="宋体" w:eastAsia="宋体" w:hAnsi="宋体" w:hint="eastAsia"/>
          <w:b/>
          <w:bCs/>
          <w:szCs w:val="21"/>
        </w:rPr>
      </w:pPr>
      <w:r w:rsidRPr="00F019B0">
        <w:rPr>
          <w:rFonts w:ascii="宋体" w:eastAsia="宋体" w:hAnsi="宋体" w:hint="eastAsia"/>
          <w:b/>
          <w:bCs/>
          <w:szCs w:val="21"/>
        </w:rPr>
        <w:t>十、人员要求</w:t>
      </w:r>
    </w:p>
    <w:p w14:paraId="69F9CE5E"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1.中标供应商须配置1名项目经理、1名技术负责人和不少于5名专业服务人员。</w:t>
      </w:r>
    </w:p>
    <w:p w14:paraId="2F6EE3E3"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2.中标供应商在项目实施过程中必须保证人员稳定。中标供应商必须无条件接受采购人的监督检查，并承担人员不足、不到位所导致的相关质量、进度等违约责任。</w:t>
      </w:r>
    </w:p>
    <w:p w14:paraId="4C2938FB"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3.中标供应商在项目实施过程中出现资源、进度、质量协调控制不力的情况，采购人有权要求更换相关项目人员，中标供应商必须予以配合，并确保不影响项目建设的进度和质量。</w:t>
      </w:r>
    </w:p>
    <w:p w14:paraId="647BD3E4"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4.项目经理：负责整体项目管控、资源分配与团队建设、组织团队培训等项目管理工作，需具备信息系统管理、网络工程、通信技术、人工智能等相关专业能力，保障项目整体实施进度及运维服务质量。</w:t>
      </w:r>
    </w:p>
    <w:p w14:paraId="7D7CC271"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5.技术负责人：负责项目技术把关以及整体网络系统规划管理和网络优化，需具备网络规划、网络工程、通信技术、信息安全等相关专业能力，保障服务期间的设备及网络稳定和信息安全。</w:t>
      </w:r>
    </w:p>
    <w:p w14:paraId="363C697B"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6.团队人员：负责项目实施及运维服务工作，需具备网络工程、通信技术等相关专业能力，保障服务期间的设备及网络稳定和信息安全。</w:t>
      </w:r>
    </w:p>
    <w:p w14:paraId="46A7540C"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7.遇到重大安保活动时，中标供应商需根据采购人的实际工作要求，在指定的时间内派遣服务人员到现场提供技术支撑，所需费用由中标供应商承担。</w:t>
      </w:r>
    </w:p>
    <w:p w14:paraId="1C502B53" w14:textId="77777777" w:rsidR="00F019B0" w:rsidRPr="00F019B0" w:rsidRDefault="00F019B0" w:rsidP="00F019B0">
      <w:pPr>
        <w:rPr>
          <w:rFonts w:ascii="宋体" w:eastAsia="宋体" w:hAnsi="宋体" w:hint="eastAsia"/>
          <w:b/>
          <w:bCs/>
          <w:szCs w:val="21"/>
        </w:rPr>
      </w:pPr>
      <w:r w:rsidRPr="00F019B0">
        <w:rPr>
          <w:rFonts w:ascii="宋体" w:eastAsia="宋体" w:hAnsi="宋体" w:hint="eastAsia"/>
          <w:b/>
          <w:bCs/>
          <w:szCs w:val="21"/>
        </w:rPr>
        <w:t>十一、运维服务要求</w:t>
      </w:r>
    </w:p>
    <w:p w14:paraId="4A9AD642"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11.1运维服务组织机构</w:t>
      </w:r>
    </w:p>
    <w:p w14:paraId="311A8A47"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项目应建立专门的运维服务，在本地设立运维服务咨询中心，设立专门的技术服务队伍，配备包括视频监控、光纤管道、电气设备、电力和网络等各类维护工程师。</w:t>
      </w:r>
    </w:p>
    <w:p w14:paraId="623799A3"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服务咨询人员和维护工程师应经过专门的培训，具备相应的沟通能力、业务能力和技术能力。</w:t>
      </w:r>
    </w:p>
    <w:p w14:paraId="0A0DE5E0"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11.2运维服务范围</w:t>
      </w:r>
    </w:p>
    <w:p w14:paraId="523865D1"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项目的运维服务范围为原有猫眼小视频内容，包含前端监控设备、传输线路、视图管理平台的维护、更换故障设备和产品升级。</w:t>
      </w:r>
    </w:p>
    <w:p w14:paraId="58A6D98B"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11.3运维服务内容</w:t>
      </w:r>
    </w:p>
    <w:p w14:paraId="13F48270"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项目应提供的运维服务内容包括但不限于日常运作、服务咨询、巡检保养、主动监测、故障修复。</w:t>
      </w:r>
    </w:p>
    <w:p w14:paraId="263CCD78"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1.日常运作</w:t>
      </w:r>
    </w:p>
    <w:p w14:paraId="05A332B7"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（1）应按照系统功能和性能要求，维护系统的日常正常运作。</w:t>
      </w:r>
    </w:p>
    <w:p w14:paraId="60DD39D8"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（2）应定期完成对系统设备和器材的维护保养，发现需维修的，要及时提出进行维修。主要包括：</w:t>
      </w:r>
    </w:p>
    <w:p w14:paraId="2201097C"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1）检查各监控点光纤收发器（或光端机）工作情况，观察光纤收发器（或光端机）设备指示灯状态；检查光纤收发器（或光端机）设备受潮情况等。</w:t>
      </w:r>
    </w:p>
    <w:p w14:paraId="1CD590BF"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2）摄像机（球）日常维护：清洁外表及镜头，对摄像机各项性能指标的检测。保证其外表无灰尘、锈斑；镜头光片铮亮、各部件运转正常。</w:t>
      </w:r>
    </w:p>
    <w:p w14:paraId="481EB9CA"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lastRenderedPageBreak/>
        <w:t>3）检查系统软件运行情况：检查数据库软件，查看数据存储是否正常。</w:t>
      </w:r>
    </w:p>
    <w:p w14:paraId="5DCA6262"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4)检查电路工作情况：检查线路情况，光缆、线路经过的路由是否存在隐患，是否需要更换、整改；检查传输设备运行情况，是否存在异常声光告警；检查互联所用光纤及传输设备连接情况，保证网络正常。</w:t>
      </w:r>
    </w:p>
    <w:p w14:paraId="382D27F0"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5）检查各类标签（包括交、直流、光纤线缆等）是否齐全、正确、遗漏或脱落，存在问题及时进行整改。</w:t>
      </w:r>
    </w:p>
    <w:p w14:paraId="3761EFF7"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6）对存在问题及时报告并进行整改。</w:t>
      </w:r>
    </w:p>
    <w:p w14:paraId="433F9F09"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2.服务咨询</w:t>
      </w:r>
    </w:p>
    <w:p w14:paraId="7AC500F8"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应设立专门的服务咨询中心，接受系统故障申告、使用帮助要求、业务和技术咨询、服务投诉等。服务咨询中心应7*8小时正常运行，配备足够的咨询人员或技术工程师。</w:t>
      </w:r>
    </w:p>
    <w:p w14:paraId="72C32F17"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应提供包括远程技术指导、现场技术支持等在内的多种有效的咨询服务，为建设单位提供全日制的相关运维服务工作，以保证系统保持良好的工作状态和实现最佳的运行效率。</w:t>
      </w:r>
    </w:p>
    <w:p w14:paraId="44F26F14"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3.巡检保养</w:t>
      </w:r>
    </w:p>
    <w:p w14:paraId="239C377F"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（1）定期巡检服务</w:t>
      </w:r>
    </w:p>
    <w:p w14:paraId="3B09C5D3"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1）定期对工程敷设线路及前端安装点进行巡检，对可能影响线路及前端的情况应及时协调，防止因线路中断等情况造成系统中断；</w:t>
      </w:r>
    </w:p>
    <w:p w14:paraId="00F6FC75"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2）定期设备进行保养性维护，包括设备除尘、排除故障隐患等，以确认所有设备及系统工作正常。</w:t>
      </w:r>
    </w:p>
    <w:p w14:paraId="1E3FCEF3"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（2）定期抽检服务</w:t>
      </w:r>
    </w:p>
    <w:p w14:paraId="10F30DD5"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应定期对系统进行随机抽查，对系统运行情况进行检测。</w:t>
      </w:r>
    </w:p>
    <w:p w14:paraId="57666348"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（3）主动监测</w:t>
      </w:r>
    </w:p>
    <w:p w14:paraId="0DFB9A83"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1）设备监测：应建立设备管理监控体系，有效地对系统的监控设备运作情况和传输线路的性能、通断情况进行实时监控，及早发现问题，排除故障。</w:t>
      </w:r>
    </w:p>
    <w:p w14:paraId="08634B31"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2）图像监控：应对每个监控点的图像显示是否正常进行主动监测，以减少故障时间。</w:t>
      </w:r>
    </w:p>
    <w:p w14:paraId="644841BC"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（4）故障修复</w:t>
      </w:r>
    </w:p>
    <w:p w14:paraId="430EA635"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1）紧急抢修</w:t>
      </w:r>
    </w:p>
    <w:p w14:paraId="240B2216"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承担合同期内系统发生任何故障的抢修任务，保证系统的正常运行。</w:t>
      </w:r>
    </w:p>
    <w:p w14:paraId="5A276FDF"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2）备用方案</w:t>
      </w:r>
    </w:p>
    <w:p w14:paraId="35FB9B99"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如特殊原因造成系统无法正常使用(如光纤切割)，应提供备用方案和措施确保系统运行正常。</w:t>
      </w:r>
    </w:p>
    <w:p w14:paraId="108D1167"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3）易损易耗件</w:t>
      </w:r>
    </w:p>
    <w:p w14:paraId="0EE16793"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应建立备品仓库，储存足够的备用易损易耗件；备品仓库应合理分布；备品仓库应定期进行检查和监测，对有问题的设备应及时进行维修和更换，保证备品仓库的更新和完善。</w:t>
      </w:r>
    </w:p>
    <w:p w14:paraId="784F2CFE"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4）故障修复时限</w:t>
      </w:r>
    </w:p>
    <w:p w14:paraId="107E0E21"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a）在接到故障报修后须在4小时内响应，到达现场后48小时内排除设备故障（遇到自然灾害等不可抗拒事故及下文规定的情况除外）</w:t>
      </w:r>
    </w:p>
    <w:p w14:paraId="4EF0B339"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b）涉及供电、市政、基础设施修复等情况的，故障修复时间依照以下规定执行：</w:t>
      </w:r>
    </w:p>
    <w:p w14:paraId="03186422"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 xml:space="preserve">涉及供电线路整治、供电线路故障的，修复时间视供电部门抢修实际时间确定； </w:t>
      </w:r>
    </w:p>
    <w:p w14:paraId="59C61855"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因受道路扩建、地铁施工、排污工程、桥梁建设、楼房拆迁等市政工程影响的，修复时间视市政工程进度确定。</w:t>
      </w:r>
    </w:p>
    <w:p w14:paraId="1FA066A0" w14:textId="77777777" w:rsidR="00F019B0" w:rsidRPr="00F019B0" w:rsidRDefault="00F019B0" w:rsidP="00F019B0">
      <w:pPr>
        <w:rPr>
          <w:rFonts w:ascii="宋体" w:eastAsia="宋体" w:hAnsi="宋体" w:hint="eastAsia"/>
          <w:szCs w:val="21"/>
        </w:rPr>
      </w:pPr>
      <w:r w:rsidRPr="00F019B0">
        <w:rPr>
          <w:rFonts w:ascii="宋体" w:eastAsia="宋体" w:hAnsi="宋体" w:hint="eastAsia"/>
          <w:szCs w:val="21"/>
        </w:rPr>
        <w:t>因雷雨天气导致的大面积设备跳闸、水涝灾害等引起的设备或线路故障的，修复时间视自然灾害情况确定。</w:t>
      </w:r>
    </w:p>
    <w:p w14:paraId="65B77482" w14:textId="678DC843" w:rsidR="00C22389" w:rsidRPr="00F019B0" w:rsidRDefault="00F019B0" w:rsidP="00F019B0">
      <w:pPr>
        <w:rPr>
          <w:rFonts w:ascii="宋体" w:eastAsia="宋体" w:hAnsi="宋体"/>
          <w:szCs w:val="21"/>
        </w:rPr>
      </w:pPr>
      <w:r w:rsidRPr="00F019B0">
        <w:rPr>
          <w:rFonts w:ascii="宋体" w:eastAsia="宋体" w:hAnsi="宋体" w:hint="eastAsia"/>
          <w:szCs w:val="21"/>
        </w:rPr>
        <w:t>由于该监控点所处物业的业主或使用人，因自身原因不允许项目承建单位维护人员对其物业相关监控设施进行维护，经有关部门协调可以实施维护后，修复时间为7天。</w:t>
      </w:r>
    </w:p>
    <w:p w14:paraId="3C0B439E" w14:textId="77777777" w:rsidR="00F33985" w:rsidRPr="00F33985" w:rsidRDefault="00F33985" w:rsidP="00F33985">
      <w:pPr>
        <w:rPr>
          <w:rFonts w:ascii="宋体" w:eastAsia="宋体" w:hAnsi="宋体" w:hint="eastAsia"/>
          <w:b/>
          <w:bCs/>
          <w:szCs w:val="21"/>
        </w:rPr>
      </w:pPr>
      <w:r w:rsidRPr="00F33985">
        <w:rPr>
          <w:rFonts w:ascii="宋体" w:eastAsia="宋体" w:hAnsi="宋体" w:hint="eastAsia"/>
          <w:b/>
          <w:bCs/>
          <w:szCs w:val="21"/>
        </w:rPr>
        <w:lastRenderedPageBreak/>
        <w:t>十二、运维考核要求</w:t>
      </w:r>
    </w:p>
    <w:p w14:paraId="172DC5AA"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12.1考核指标</w:t>
      </w:r>
    </w:p>
    <w:p w14:paraId="5204C640"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1.运维质量指标包括：建档合格率、视频在线率、录像可用率、卡口在线率、采集达标率、上传及时率等；</w:t>
      </w:r>
    </w:p>
    <w:p w14:paraId="1C3667A2"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2.运维服务方面：巡检执行、运维响应时间、故障处理时效等。</w:t>
      </w:r>
    </w:p>
    <w:p w14:paraId="6E327848"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12.2考核办法</w:t>
      </w:r>
    </w:p>
    <w:p w14:paraId="1D1187BA" w14:textId="213D5878" w:rsidR="00C22389" w:rsidRDefault="00F33985" w:rsidP="00F33985">
      <w:pPr>
        <w:rPr>
          <w:rFonts w:ascii="宋体" w:eastAsia="宋体" w:hAnsi="宋体"/>
          <w:szCs w:val="21"/>
        </w:rPr>
      </w:pPr>
      <w:r w:rsidRPr="00F33985">
        <w:rPr>
          <w:rFonts w:ascii="宋体" w:eastAsia="宋体" w:hAnsi="宋体" w:hint="eastAsia"/>
          <w:szCs w:val="21"/>
        </w:rPr>
        <w:t>采购人根据使用实际情况，设立绩效考评付费规则，合同履约过程中实时调整，对中标人进行考核评分。考核评分如下（具体实际扣分处罚以采购人通知为准）:</w:t>
      </w:r>
    </w:p>
    <w:tbl>
      <w:tblPr>
        <w:tblW w:w="5000" w:type="pct"/>
        <w:tblLook w:val="04A0" w:firstRow="1" w:lastRow="0" w:firstColumn="1" w:lastColumn="0" w:noHBand="0" w:noVBand="1"/>
      </w:tblPr>
      <w:tblGrid>
        <w:gridCol w:w="666"/>
        <w:gridCol w:w="1244"/>
        <w:gridCol w:w="3637"/>
        <w:gridCol w:w="2749"/>
      </w:tblGrid>
      <w:tr w:rsidR="00F33985" w14:paraId="7C0F06B5" w14:textId="77777777" w:rsidTr="00F33985">
        <w:trPr>
          <w:trHeight w:val="559"/>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CE2F250"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考核项</w:t>
            </w:r>
          </w:p>
        </w:tc>
        <w:tc>
          <w:tcPr>
            <w:tcW w:w="750" w:type="pct"/>
            <w:tcBorders>
              <w:top w:val="single" w:sz="4" w:space="0" w:color="auto"/>
              <w:left w:val="nil"/>
              <w:bottom w:val="single" w:sz="4" w:space="0" w:color="auto"/>
              <w:right w:val="single" w:sz="4" w:space="0" w:color="auto"/>
            </w:tcBorders>
            <w:shd w:val="clear" w:color="auto" w:fill="auto"/>
            <w:vAlign w:val="center"/>
          </w:tcPr>
          <w:p w14:paraId="3976C64C"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考核内容</w:t>
            </w:r>
          </w:p>
        </w:tc>
        <w:tc>
          <w:tcPr>
            <w:tcW w:w="2192" w:type="pct"/>
            <w:tcBorders>
              <w:top w:val="single" w:sz="4" w:space="0" w:color="auto"/>
              <w:left w:val="nil"/>
              <w:bottom w:val="single" w:sz="4" w:space="0" w:color="auto"/>
              <w:right w:val="single" w:sz="4" w:space="0" w:color="auto"/>
            </w:tcBorders>
            <w:shd w:val="clear" w:color="auto" w:fill="auto"/>
            <w:vAlign w:val="center"/>
          </w:tcPr>
          <w:p w14:paraId="1CA22648"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考核指标</w:t>
            </w:r>
          </w:p>
        </w:tc>
        <w:tc>
          <w:tcPr>
            <w:tcW w:w="1657" w:type="pct"/>
            <w:tcBorders>
              <w:top w:val="single" w:sz="4" w:space="0" w:color="auto"/>
              <w:left w:val="nil"/>
              <w:bottom w:val="single" w:sz="4" w:space="0" w:color="auto"/>
              <w:right w:val="single" w:sz="4" w:space="0" w:color="auto"/>
            </w:tcBorders>
            <w:shd w:val="clear" w:color="auto" w:fill="auto"/>
            <w:vAlign w:val="center"/>
          </w:tcPr>
          <w:p w14:paraId="13A35560"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考核方法</w:t>
            </w:r>
          </w:p>
        </w:tc>
      </w:tr>
      <w:tr w:rsidR="00F33985" w14:paraId="2B38EF5A" w14:textId="77777777" w:rsidTr="00F33985">
        <w:trPr>
          <w:trHeight w:val="679"/>
        </w:trPr>
        <w:tc>
          <w:tcPr>
            <w:tcW w:w="401" w:type="pct"/>
            <w:vMerge w:val="restart"/>
            <w:tcBorders>
              <w:top w:val="nil"/>
              <w:left w:val="single" w:sz="4" w:space="0" w:color="auto"/>
              <w:bottom w:val="single" w:sz="4" w:space="0" w:color="auto"/>
              <w:right w:val="single" w:sz="4" w:space="0" w:color="auto"/>
            </w:tcBorders>
            <w:shd w:val="clear" w:color="auto" w:fill="auto"/>
            <w:vAlign w:val="center"/>
          </w:tcPr>
          <w:p w14:paraId="67814EDA"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运维质量</w:t>
            </w:r>
          </w:p>
        </w:tc>
        <w:tc>
          <w:tcPr>
            <w:tcW w:w="750" w:type="pct"/>
            <w:tcBorders>
              <w:top w:val="nil"/>
              <w:left w:val="nil"/>
              <w:bottom w:val="single" w:sz="4" w:space="0" w:color="auto"/>
              <w:right w:val="single" w:sz="4" w:space="0" w:color="auto"/>
            </w:tcBorders>
            <w:shd w:val="clear" w:color="auto" w:fill="auto"/>
            <w:vAlign w:val="center"/>
          </w:tcPr>
          <w:p w14:paraId="66BB0032"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视频在线率考核（</w:t>
            </w:r>
            <w:r>
              <w:rPr>
                <w:rFonts w:ascii="Calibri" w:eastAsia="宋体" w:hAnsi="Calibri" w:cs="Calibri"/>
                <w:color w:val="000000"/>
                <w:kern w:val="0"/>
                <w:sz w:val="20"/>
                <w:szCs w:val="20"/>
              </w:rPr>
              <w:t>30</w:t>
            </w:r>
            <w:r>
              <w:rPr>
                <w:rFonts w:ascii="宋体" w:eastAsia="宋体" w:hAnsi="宋体" w:cs="宋体" w:hint="eastAsia"/>
                <w:color w:val="000000"/>
                <w:kern w:val="0"/>
                <w:sz w:val="20"/>
                <w:szCs w:val="20"/>
              </w:rPr>
              <w:t>分）</w:t>
            </w:r>
          </w:p>
        </w:tc>
        <w:tc>
          <w:tcPr>
            <w:tcW w:w="2192" w:type="pct"/>
            <w:tcBorders>
              <w:top w:val="nil"/>
              <w:left w:val="nil"/>
              <w:bottom w:val="single" w:sz="4" w:space="0" w:color="auto"/>
              <w:right w:val="single" w:sz="4" w:space="0" w:color="auto"/>
            </w:tcBorders>
            <w:shd w:val="clear" w:color="auto" w:fill="auto"/>
            <w:vAlign w:val="center"/>
          </w:tcPr>
          <w:p w14:paraId="2F0379CC"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视频在线率≥</w:t>
            </w:r>
            <w:r>
              <w:rPr>
                <w:rFonts w:ascii="Calibri" w:eastAsia="宋体" w:hAnsi="Calibri" w:cs="Calibri"/>
                <w:color w:val="000000"/>
                <w:kern w:val="0"/>
                <w:sz w:val="20"/>
                <w:szCs w:val="20"/>
              </w:rPr>
              <w:t>90%</w:t>
            </w:r>
            <w:r>
              <w:rPr>
                <w:rFonts w:ascii="宋体" w:eastAsia="宋体" w:hAnsi="宋体" w:cs="宋体" w:hint="eastAsia"/>
                <w:color w:val="000000"/>
                <w:kern w:val="0"/>
                <w:sz w:val="20"/>
                <w:szCs w:val="20"/>
              </w:rPr>
              <w:t>；视频在线率每低</w:t>
            </w:r>
            <w:r>
              <w:rPr>
                <w:rFonts w:ascii="Calibri" w:eastAsia="宋体" w:hAnsi="Calibri" w:cs="Calibri"/>
                <w:color w:val="000000"/>
                <w:kern w:val="0"/>
                <w:sz w:val="20"/>
                <w:szCs w:val="20"/>
              </w:rPr>
              <w:t>1%</w:t>
            </w:r>
            <w:r>
              <w:rPr>
                <w:rFonts w:ascii="宋体" w:eastAsia="宋体" w:hAnsi="宋体" w:cs="宋体" w:hint="eastAsia"/>
                <w:color w:val="000000"/>
                <w:kern w:val="0"/>
                <w:sz w:val="20"/>
                <w:szCs w:val="20"/>
              </w:rPr>
              <w:t>，扣</w:t>
            </w:r>
            <w:r>
              <w:rPr>
                <w:rFonts w:ascii="Calibri" w:eastAsia="宋体" w:hAnsi="Calibri" w:cs="Calibri"/>
                <w:color w:val="000000"/>
                <w:kern w:val="0"/>
                <w:sz w:val="20"/>
                <w:szCs w:val="20"/>
              </w:rPr>
              <w:t>5</w:t>
            </w:r>
            <w:r>
              <w:rPr>
                <w:rFonts w:ascii="宋体" w:eastAsia="宋体" w:hAnsi="宋体" w:cs="宋体" w:hint="eastAsia"/>
                <w:color w:val="000000"/>
                <w:kern w:val="0"/>
                <w:sz w:val="20"/>
                <w:szCs w:val="20"/>
              </w:rPr>
              <w:t>分</w:t>
            </w:r>
          </w:p>
        </w:tc>
        <w:tc>
          <w:tcPr>
            <w:tcW w:w="1657" w:type="pct"/>
            <w:tcBorders>
              <w:top w:val="nil"/>
              <w:left w:val="nil"/>
              <w:bottom w:val="single" w:sz="4" w:space="0" w:color="auto"/>
              <w:right w:val="single" w:sz="4" w:space="0" w:color="auto"/>
            </w:tcBorders>
            <w:shd w:val="clear" w:color="auto" w:fill="auto"/>
            <w:vAlign w:val="center"/>
          </w:tcPr>
          <w:p w14:paraId="336455B6"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每月通过公安两网平台导出“猫眼”小视频视频在线情况，核算视频在线率。</w:t>
            </w:r>
          </w:p>
        </w:tc>
      </w:tr>
      <w:tr w:rsidR="00F33985" w14:paraId="237C58CF" w14:textId="77777777" w:rsidTr="00F33985">
        <w:trPr>
          <w:trHeight w:val="1122"/>
        </w:trPr>
        <w:tc>
          <w:tcPr>
            <w:tcW w:w="401" w:type="pct"/>
            <w:vMerge/>
            <w:tcBorders>
              <w:top w:val="nil"/>
              <w:left w:val="single" w:sz="4" w:space="0" w:color="auto"/>
              <w:bottom w:val="single" w:sz="4" w:space="0" w:color="auto"/>
              <w:right w:val="single" w:sz="4" w:space="0" w:color="auto"/>
            </w:tcBorders>
            <w:vAlign w:val="center"/>
          </w:tcPr>
          <w:p w14:paraId="42430711" w14:textId="77777777" w:rsidR="00F33985" w:rsidRDefault="00F33985" w:rsidP="00D84C0C">
            <w:pPr>
              <w:widowControl/>
              <w:jc w:val="left"/>
              <w:rPr>
                <w:rFonts w:ascii="宋体" w:eastAsia="宋体" w:hAnsi="宋体" w:cs="宋体" w:hint="eastAsia"/>
                <w:color w:val="000000"/>
                <w:kern w:val="0"/>
                <w:sz w:val="20"/>
                <w:szCs w:val="20"/>
              </w:rPr>
            </w:pPr>
          </w:p>
        </w:tc>
        <w:tc>
          <w:tcPr>
            <w:tcW w:w="750" w:type="pct"/>
            <w:tcBorders>
              <w:top w:val="nil"/>
              <w:left w:val="nil"/>
              <w:bottom w:val="single" w:sz="4" w:space="0" w:color="auto"/>
              <w:right w:val="single" w:sz="4" w:space="0" w:color="auto"/>
            </w:tcBorders>
            <w:shd w:val="clear" w:color="auto" w:fill="auto"/>
            <w:vAlign w:val="center"/>
          </w:tcPr>
          <w:p w14:paraId="2072F9EF"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“猫眼”小视频建档准确率、时钟准确率考核（20分）</w:t>
            </w:r>
          </w:p>
        </w:tc>
        <w:tc>
          <w:tcPr>
            <w:tcW w:w="2192" w:type="pct"/>
            <w:tcBorders>
              <w:top w:val="nil"/>
              <w:left w:val="nil"/>
              <w:bottom w:val="single" w:sz="4" w:space="0" w:color="auto"/>
              <w:right w:val="single" w:sz="4" w:space="0" w:color="auto"/>
            </w:tcBorders>
            <w:shd w:val="clear" w:color="auto" w:fill="auto"/>
            <w:vAlign w:val="center"/>
          </w:tcPr>
          <w:p w14:paraId="75EB08BB"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猫眼小频建档率≥</w:t>
            </w:r>
            <w:r>
              <w:rPr>
                <w:rFonts w:ascii="Calibri" w:eastAsia="宋体" w:hAnsi="Calibri" w:cs="Calibri"/>
                <w:color w:val="000000"/>
                <w:kern w:val="0"/>
                <w:sz w:val="20"/>
                <w:szCs w:val="20"/>
              </w:rPr>
              <w:t>99%</w:t>
            </w:r>
            <w:r>
              <w:rPr>
                <w:rFonts w:ascii="宋体" w:eastAsia="宋体" w:hAnsi="宋体" w:cs="宋体" w:hint="eastAsia"/>
                <w:color w:val="000000"/>
                <w:kern w:val="0"/>
                <w:sz w:val="20"/>
                <w:szCs w:val="20"/>
              </w:rPr>
              <w:t>、时钟准确率≥</w:t>
            </w:r>
            <w:r>
              <w:rPr>
                <w:rFonts w:ascii="Calibri" w:eastAsia="宋体" w:hAnsi="Calibri" w:cs="Calibri"/>
                <w:color w:val="000000"/>
                <w:kern w:val="0"/>
                <w:sz w:val="20"/>
                <w:szCs w:val="20"/>
              </w:rPr>
              <w:t>90%</w:t>
            </w:r>
            <w:r>
              <w:rPr>
                <w:rFonts w:ascii="宋体" w:eastAsia="宋体" w:hAnsi="宋体" w:cs="宋体" w:hint="eastAsia"/>
                <w:color w:val="000000"/>
                <w:kern w:val="0"/>
                <w:sz w:val="20"/>
                <w:szCs w:val="20"/>
              </w:rPr>
              <w:t>，慧眼视频建档率、时钟准确率每低</w:t>
            </w:r>
            <w:r>
              <w:rPr>
                <w:rFonts w:ascii="Calibri" w:eastAsia="宋体" w:hAnsi="Calibri" w:cs="Calibri"/>
                <w:color w:val="000000"/>
                <w:kern w:val="0"/>
                <w:sz w:val="20"/>
                <w:szCs w:val="20"/>
              </w:rPr>
              <w:t>1%</w:t>
            </w:r>
            <w:r>
              <w:rPr>
                <w:rFonts w:ascii="宋体" w:eastAsia="宋体" w:hAnsi="宋体" w:cs="宋体" w:hint="eastAsia"/>
                <w:color w:val="000000"/>
                <w:kern w:val="0"/>
                <w:sz w:val="20"/>
                <w:szCs w:val="20"/>
              </w:rPr>
              <w:t>，扣</w:t>
            </w:r>
            <w:r>
              <w:rPr>
                <w:rFonts w:ascii="Calibri" w:eastAsia="宋体" w:hAnsi="Calibri" w:cs="Calibri"/>
                <w:color w:val="000000"/>
                <w:kern w:val="0"/>
                <w:sz w:val="20"/>
                <w:szCs w:val="20"/>
              </w:rPr>
              <w:t>5</w:t>
            </w:r>
            <w:r>
              <w:rPr>
                <w:rFonts w:ascii="宋体" w:eastAsia="宋体" w:hAnsi="宋体" w:cs="宋体" w:hint="eastAsia"/>
                <w:color w:val="000000"/>
                <w:kern w:val="0"/>
                <w:sz w:val="20"/>
                <w:szCs w:val="20"/>
              </w:rPr>
              <w:t>分。</w:t>
            </w:r>
          </w:p>
        </w:tc>
        <w:tc>
          <w:tcPr>
            <w:tcW w:w="1657" w:type="pct"/>
            <w:tcBorders>
              <w:top w:val="nil"/>
              <w:left w:val="nil"/>
              <w:bottom w:val="single" w:sz="4" w:space="0" w:color="auto"/>
              <w:right w:val="single" w:sz="4" w:space="0" w:color="auto"/>
            </w:tcBorders>
            <w:shd w:val="clear" w:color="auto" w:fill="auto"/>
            <w:vAlign w:val="center"/>
          </w:tcPr>
          <w:p w14:paraId="54BAF601"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每月通过公安两网平台导出“猫眼”小视频建档情况，核算视频建档准确率、时钟准确率</w:t>
            </w:r>
          </w:p>
        </w:tc>
      </w:tr>
      <w:tr w:rsidR="00F33985" w14:paraId="5988F3C5" w14:textId="77777777" w:rsidTr="00F33985">
        <w:trPr>
          <w:trHeight w:val="780"/>
        </w:trPr>
        <w:tc>
          <w:tcPr>
            <w:tcW w:w="401" w:type="pct"/>
            <w:vMerge/>
            <w:tcBorders>
              <w:top w:val="nil"/>
              <w:left w:val="single" w:sz="4" w:space="0" w:color="auto"/>
              <w:bottom w:val="single" w:sz="4" w:space="0" w:color="auto"/>
              <w:right w:val="single" w:sz="4" w:space="0" w:color="auto"/>
            </w:tcBorders>
            <w:vAlign w:val="center"/>
          </w:tcPr>
          <w:p w14:paraId="7467CBDF" w14:textId="77777777" w:rsidR="00F33985" w:rsidRDefault="00F33985" w:rsidP="00D84C0C">
            <w:pPr>
              <w:widowControl/>
              <w:jc w:val="left"/>
              <w:rPr>
                <w:rFonts w:ascii="宋体" w:eastAsia="宋体" w:hAnsi="宋体" w:cs="宋体" w:hint="eastAsia"/>
                <w:color w:val="000000"/>
                <w:kern w:val="0"/>
                <w:sz w:val="20"/>
                <w:szCs w:val="20"/>
              </w:rPr>
            </w:pPr>
          </w:p>
        </w:tc>
        <w:tc>
          <w:tcPr>
            <w:tcW w:w="750" w:type="pct"/>
            <w:tcBorders>
              <w:top w:val="nil"/>
              <w:left w:val="nil"/>
              <w:bottom w:val="single" w:sz="4" w:space="0" w:color="auto"/>
              <w:right w:val="single" w:sz="4" w:space="0" w:color="auto"/>
            </w:tcBorders>
            <w:shd w:val="clear" w:color="auto" w:fill="auto"/>
            <w:vAlign w:val="center"/>
          </w:tcPr>
          <w:p w14:paraId="4D051F93"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“猫眼”小视频联网率考核（20分）</w:t>
            </w:r>
          </w:p>
        </w:tc>
        <w:tc>
          <w:tcPr>
            <w:tcW w:w="2192" w:type="pct"/>
            <w:tcBorders>
              <w:top w:val="nil"/>
              <w:left w:val="nil"/>
              <w:bottom w:val="single" w:sz="4" w:space="0" w:color="auto"/>
              <w:right w:val="single" w:sz="4" w:space="0" w:color="auto"/>
            </w:tcBorders>
            <w:shd w:val="clear" w:color="auto" w:fill="auto"/>
            <w:vAlign w:val="center"/>
          </w:tcPr>
          <w:p w14:paraId="58992417"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“猫眼”小联网率≥9</w:t>
            </w:r>
            <w:r>
              <w:rPr>
                <w:rFonts w:ascii="Calibri" w:eastAsia="宋体" w:hAnsi="Calibri" w:cs="Calibri"/>
                <w:color w:val="000000"/>
                <w:kern w:val="0"/>
                <w:sz w:val="20"/>
                <w:szCs w:val="20"/>
              </w:rPr>
              <w:t>0%</w:t>
            </w:r>
            <w:r>
              <w:rPr>
                <w:rFonts w:ascii="宋体" w:eastAsia="宋体" w:hAnsi="宋体" w:cs="宋体" w:hint="eastAsia"/>
                <w:color w:val="000000"/>
                <w:kern w:val="0"/>
                <w:sz w:val="20"/>
                <w:szCs w:val="20"/>
              </w:rPr>
              <w:t>，每低</w:t>
            </w:r>
            <w:r>
              <w:rPr>
                <w:rFonts w:ascii="Calibri" w:eastAsia="宋体" w:hAnsi="Calibri" w:cs="Calibri"/>
                <w:color w:val="000000"/>
                <w:kern w:val="0"/>
                <w:sz w:val="20"/>
                <w:szCs w:val="20"/>
              </w:rPr>
              <w:t>1%</w:t>
            </w:r>
            <w:r>
              <w:rPr>
                <w:rFonts w:ascii="宋体" w:eastAsia="宋体" w:hAnsi="宋体" w:cs="宋体" w:hint="eastAsia"/>
                <w:color w:val="000000"/>
                <w:kern w:val="0"/>
                <w:sz w:val="20"/>
                <w:szCs w:val="20"/>
              </w:rPr>
              <w:t>扣</w:t>
            </w:r>
            <w:r>
              <w:rPr>
                <w:rFonts w:ascii="Calibri" w:eastAsia="宋体" w:hAnsi="Calibri" w:cs="Calibri"/>
                <w:color w:val="000000"/>
                <w:kern w:val="0"/>
                <w:sz w:val="20"/>
                <w:szCs w:val="20"/>
              </w:rPr>
              <w:t>5</w:t>
            </w:r>
            <w:r>
              <w:rPr>
                <w:rFonts w:ascii="宋体" w:eastAsia="宋体" w:hAnsi="宋体" w:cs="宋体" w:hint="eastAsia"/>
                <w:color w:val="000000"/>
                <w:kern w:val="0"/>
                <w:sz w:val="20"/>
                <w:szCs w:val="20"/>
              </w:rPr>
              <w:t>分</w:t>
            </w:r>
          </w:p>
        </w:tc>
        <w:tc>
          <w:tcPr>
            <w:tcW w:w="1657" w:type="pct"/>
            <w:tcBorders>
              <w:top w:val="nil"/>
              <w:left w:val="nil"/>
              <w:bottom w:val="single" w:sz="4" w:space="0" w:color="auto"/>
              <w:right w:val="single" w:sz="4" w:space="0" w:color="auto"/>
            </w:tcBorders>
            <w:shd w:val="clear" w:color="auto" w:fill="auto"/>
            <w:vAlign w:val="center"/>
          </w:tcPr>
          <w:p w14:paraId="060A7075"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每月通过公安两网平台导出“猫眼”联网情况，核算“猫眼”小视频联网率。</w:t>
            </w:r>
          </w:p>
        </w:tc>
      </w:tr>
      <w:tr w:rsidR="00F33985" w14:paraId="45D93868" w14:textId="77777777" w:rsidTr="00F33985">
        <w:trPr>
          <w:trHeight w:val="840"/>
        </w:trPr>
        <w:tc>
          <w:tcPr>
            <w:tcW w:w="401" w:type="pct"/>
            <w:vMerge/>
            <w:tcBorders>
              <w:top w:val="nil"/>
              <w:left w:val="single" w:sz="4" w:space="0" w:color="auto"/>
              <w:bottom w:val="single" w:sz="4" w:space="0" w:color="auto"/>
              <w:right w:val="single" w:sz="4" w:space="0" w:color="auto"/>
            </w:tcBorders>
            <w:vAlign w:val="center"/>
          </w:tcPr>
          <w:p w14:paraId="75FCC067" w14:textId="77777777" w:rsidR="00F33985" w:rsidRDefault="00F33985" w:rsidP="00D84C0C">
            <w:pPr>
              <w:widowControl/>
              <w:jc w:val="left"/>
              <w:rPr>
                <w:rFonts w:ascii="宋体" w:eastAsia="宋体" w:hAnsi="宋体" w:cs="宋体" w:hint="eastAsia"/>
                <w:color w:val="000000"/>
                <w:kern w:val="0"/>
                <w:sz w:val="20"/>
                <w:szCs w:val="20"/>
              </w:rPr>
            </w:pPr>
          </w:p>
        </w:tc>
        <w:tc>
          <w:tcPr>
            <w:tcW w:w="750" w:type="pct"/>
            <w:tcBorders>
              <w:top w:val="nil"/>
              <w:left w:val="nil"/>
              <w:bottom w:val="single" w:sz="4" w:space="0" w:color="auto"/>
              <w:right w:val="single" w:sz="4" w:space="0" w:color="auto"/>
            </w:tcBorders>
            <w:shd w:val="clear" w:color="auto" w:fill="auto"/>
            <w:vAlign w:val="center"/>
          </w:tcPr>
          <w:p w14:paraId="7C6E2893"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巡检工作执行</w:t>
            </w:r>
            <w:r>
              <w:rPr>
                <w:rFonts w:ascii="宋体" w:eastAsia="宋体" w:hAnsi="宋体" w:cs="宋体" w:hint="eastAsia"/>
                <w:color w:val="000000"/>
                <w:kern w:val="0"/>
                <w:sz w:val="20"/>
                <w:szCs w:val="20"/>
              </w:rPr>
              <w:br/>
              <w:t>（10分）</w:t>
            </w:r>
          </w:p>
        </w:tc>
        <w:tc>
          <w:tcPr>
            <w:tcW w:w="2192" w:type="pct"/>
            <w:tcBorders>
              <w:top w:val="nil"/>
              <w:left w:val="nil"/>
              <w:bottom w:val="single" w:sz="4" w:space="0" w:color="auto"/>
              <w:right w:val="single" w:sz="4" w:space="0" w:color="auto"/>
            </w:tcBorders>
            <w:shd w:val="clear" w:color="auto" w:fill="auto"/>
            <w:vAlign w:val="center"/>
          </w:tcPr>
          <w:p w14:paraId="291784AB"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每半年对猫眼前端设备进行一次全面巡检，巡检率应达到</w:t>
            </w:r>
            <w:r>
              <w:rPr>
                <w:rFonts w:ascii="Calibri" w:eastAsia="宋体" w:hAnsi="Calibri" w:cs="Calibri"/>
                <w:color w:val="000000"/>
                <w:kern w:val="0"/>
                <w:sz w:val="20"/>
                <w:szCs w:val="20"/>
              </w:rPr>
              <w:t>90%</w:t>
            </w:r>
            <w:r>
              <w:rPr>
                <w:rFonts w:ascii="宋体" w:eastAsia="宋体" w:hAnsi="宋体" w:cs="宋体" w:hint="eastAsia"/>
                <w:color w:val="000000"/>
                <w:kern w:val="0"/>
                <w:sz w:val="20"/>
                <w:szCs w:val="20"/>
              </w:rPr>
              <w:t>以上。未达到要求，每低</w:t>
            </w:r>
            <w:r>
              <w:rPr>
                <w:rFonts w:ascii="Calibri" w:eastAsia="宋体" w:hAnsi="Calibri" w:cs="Calibri"/>
                <w:color w:val="000000"/>
                <w:kern w:val="0"/>
                <w:sz w:val="20"/>
                <w:szCs w:val="20"/>
              </w:rPr>
              <w:t>1%</w:t>
            </w:r>
            <w:r>
              <w:rPr>
                <w:rFonts w:ascii="宋体" w:eastAsia="宋体" w:hAnsi="宋体" w:cs="宋体" w:hint="eastAsia"/>
                <w:color w:val="000000"/>
                <w:kern w:val="0"/>
                <w:sz w:val="20"/>
                <w:szCs w:val="20"/>
              </w:rPr>
              <w:t>扣</w:t>
            </w:r>
            <w:r>
              <w:rPr>
                <w:rFonts w:ascii="Calibri" w:eastAsia="宋体" w:hAnsi="Calibri" w:cs="Calibri"/>
                <w:color w:val="000000"/>
                <w:kern w:val="0"/>
                <w:sz w:val="20"/>
                <w:szCs w:val="20"/>
              </w:rPr>
              <w:t>1</w:t>
            </w:r>
            <w:r>
              <w:rPr>
                <w:rFonts w:ascii="宋体" w:eastAsia="宋体" w:hAnsi="宋体" w:cs="宋体" w:hint="eastAsia"/>
                <w:color w:val="000000"/>
                <w:kern w:val="0"/>
                <w:sz w:val="20"/>
                <w:szCs w:val="20"/>
              </w:rPr>
              <w:t>分</w:t>
            </w:r>
          </w:p>
        </w:tc>
        <w:tc>
          <w:tcPr>
            <w:tcW w:w="1657" w:type="pct"/>
            <w:tcBorders>
              <w:top w:val="nil"/>
              <w:left w:val="nil"/>
              <w:bottom w:val="single" w:sz="4" w:space="0" w:color="auto"/>
              <w:right w:val="single" w:sz="4" w:space="0" w:color="auto"/>
            </w:tcBorders>
            <w:shd w:val="clear" w:color="auto" w:fill="auto"/>
            <w:vAlign w:val="center"/>
          </w:tcPr>
          <w:p w14:paraId="064951F1"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根据提供的猫眼摄像机日常维护巡检进行核查。</w:t>
            </w:r>
          </w:p>
        </w:tc>
      </w:tr>
      <w:tr w:rsidR="00F33985" w14:paraId="4AD3EB80" w14:textId="77777777" w:rsidTr="00F33985">
        <w:trPr>
          <w:trHeight w:val="762"/>
        </w:trPr>
        <w:tc>
          <w:tcPr>
            <w:tcW w:w="401" w:type="pct"/>
            <w:vMerge w:val="restart"/>
            <w:tcBorders>
              <w:top w:val="nil"/>
              <w:left w:val="single" w:sz="4" w:space="0" w:color="auto"/>
              <w:bottom w:val="single" w:sz="4" w:space="0" w:color="auto"/>
              <w:right w:val="single" w:sz="4" w:space="0" w:color="auto"/>
            </w:tcBorders>
            <w:shd w:val="clear" w:color="auto" w:fill="auto"/>
            <w:vAlign w:val="center"/>
          </w:tcPr>
          <w:p w14:paraId="3955CDEA"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运维服务</w:t>
            </w:r>
          </w:p>
        </w:tc>
        <w:tc>
          <w:tcPr>
            <w:tcW w:w="750" w:type="pct"/>
            <w:tcBorders>
              <w:top w:val="nil"/>
              <w:left w:val="nil"/>
              <w:bottom w:val="single" w:sz="4" w:space="0" w:color="auto"/>
              <w:right w:val="single" w:sz="4" w:space="0" w:color="auto"/>
            </w:tcBorders>
            <w:shd w:val="clear" w:color="auto" w:fill="auto"/>
            <w:vAlign w:val="center"/>
          </w:tcPr>
          <w:p w14:paraId="2BC96592"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运维响应时间（5分）</w:t>
            </w:r>
          </w:p>
        </w:tc>
        <w:tc>
          <w:tcPr>
            <w:tcW w:w="2192" w:type="pct"/>
            <w:tcBorders>
              <w:top w:val="nil"/>
              <w:left w:val="nil"/>
              <w:bottom w:val="single" w:sz="4" w:space="0" w:color="auto"/>
              <w:right w:val="single" w:sz="4" w:space="0" w:color="auto"/>
            </w:tcBorders>
            <w:shd w:val="clear" w:color="auto" w:fill="auto"/>
            <w:vAlign w:val="center"/>
          </w:tcPr>
          <w:p w14:paraId="684A6A87"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当单个网点业务中断时，在</w:t>
            </w:r>
            <w:r>
              <w:rPr>
                <w:rFonts w:ascii="Calibri" w:eastAsia="宋体" w:hAnsi="Calibri" w:cs="Calibri"/>
                <w:color w:val="000000"/>
                <w:kern w:val="0"/>
                <w:sz w:val="20"/>
                <w:szCs w:val="20"/>
              </w:rPr>
              <w:t>1</w:t>
            </w:r>
            <w:r>
              <w:rPr>
                <w:rFonts w:ascii="宋体" w:eastAsia="宋体" w:hAnsi="宋体" w:cs="宋体" w:hint="eastAsia"/>
                <w:color w:val="000000"/>
                <w:kern w:val="0"/>
                <w:sz w:val="20"/>
                <w:szCs w:val="20"/>
              </w:rPr>
              <w:t>小时内进行响应。故障响应时间每超时一次，扣</w:t>
            </w:r>
            <w:r>
              <w:rPr>
                <w:rFonts w:ascii="Calibri" w:eastAsia="宋体" w:hAnsi="Calibri" w:cs="Calibri"/>
                <w:color w:val="000000"/>
                <w:kern w:val="0"/>
                <w:sz w:val="20"/>
                <w:szCs w:val="20"/>
              </w:rPr>
              <w:t>1</w:t>
            </w:r>
            <w:r>
              <w:rPr>
                <w:rFonts w:ascii="宋体" w:eastAsia="宋体" w:hAnsi="宋体" w:cs="宋体" w:hint="eastAsia"/>
                <w:color w:val="000000"/>
                <w:kern w:val="0"/>
                <w:sz w:val="20"/>
                <w:szCs w:val="20"/>
              </w:rPr>
              <w:t>分</w:t>
            </w:r>
          </w:p>
        </w:tc>
        <w:tc>
          <w:tcPr>
            <w:tcW w:w="1657" w:type="pct"/>
            <w:tcBorders>
              <w:top w:val="nil"/>
              <w:left w:val="nil"/>
              <w:bottom w:val="single" w:sz="4" w:space="0" w:color="auto"/>
              <w:right w:val="single" w:sz="4" w:space="0" w:color="auto"/>
            </w:tcBorders>
            <w:shd w:val="clear" w:color="auto" w:fill="auto"/>
            <w:vAlign w:val="center"/>
          </w:tcPr>
          <w:p w14:paraId="09E5AABE"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根据超时故障单进行核查。</w:t>
            </w:r>
          </w:p>
        </w:tc>
      </w:tr>
      <w:tr w:rsidR="00F33985" w14:paraId="11BB4D53" w14:textId="77777777" w:rsidTr="00F33985">
        <w:trPr>
          <w:trHeight w:val="942"/>
        </w:trPr>
        <w:tc>
          <w:tcPr>
            <w:tcW w:w="401" w:type="pct"/>
            <w:vMerge/>
            <w:tcBorders>
              <w:top w:val="nil"/>
              <w:left w:val="single" w:sz="4" w:space="0" w:color="auto"/>
              <w:bottom w:val="single" w:sz="4" w:space="0" w:color="auto"/>
              <w:right w:val="single" w:sz="4" w:space="0" w:color="auto"/>
            </w:tcBorders>
            <w:vAlign w:val="center"/>
          </w:tcPr>
          <w:p w14:paraId="3EFE7B58" w14:textId="77777777" w:rsidR="00F33985" w:rsidRDefault="00F33985" w:rsidP="00D84C0C">
            <w:pPr>
              <w:widowControl/>
              <w:jc w:val="left"/>
              <w:rPr>
                <w:rFonts w:ascii="宋体" w:eastAsia="宋体" w:hAnsi="宋体" w:cs="宋体" w:hint="eastAsia"/>
                <w:color w:val="000000"/>
                <w:kern w:val="0"/>
                <w:sz w:val="20"/>
                <w:szCs w:val="20"/>
              </w:rPr>
            </w:pPr>
          </w:p>
        </w:tc>
        <w:tc>
          <w:tcPr>
            <w:tcW w:w="750" w:type="pct"/>
            <w:tcBorders>
              <w:top w:val="nil"/>
              <w:left w:val="nil"/>
              <w:bottom w:val="nil"/>
              <w:right w:val="single" w:sz="4" w:space="0" w:color="auto"/>
            </w:tcBorders>
            <w:shd w:val="clear" w:color="auto" w:fill="auto"/>
            <w:vAlign w:val="center"/>
          </w:tcPr>
          <w:p w14:paraId="43CEC3BF"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故障处理时间</w:t>
            </w:r>
            <w:r>
              <w:rPr>
                <w:rFonts w:ascii="宋体" w:eastAsia="宋体" w:hAnsi="宋体" w:cs="宋体" w:hint="eastAsia"/>
                <w:color w:val="000000"/>
                <w:kern w:val="0"/>
                <w:sz w:val="20"/>
                <w:szCs w:val="20"/>
              </w:rPr>
              <w:br/>
              <w:t>（15分）</w:t>
            </w:r>
          </w:p>
        </w:tc>
        <w:tc>
          <w:tcPr>
            <w:tcW w:w="2192" w:type="pct"/>
            <w:tcBorders>
              <w:top w:val="nil"/>
              <w:left w:val="nil"/>
              <w:bottom w:val="nil"/>
              <w:right w:val="single" w:sz="4" w:space="0" w:color="auto"/>
            </w:tcBorders>
            <w:shd w:val="clear" w:color="auto" w:fill="auto"/>
            <w:vAlign w:val="center"/>
          </w:tcPr>
          <w:p w14:paraId="6E385BFD"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当单个网点业务中断时，</w:t>
            </w:r>
            <w:r>
              <w:rPr>
                <w:rFonts w:ascii="Calibri" w:eastAsia="宋体" w:hAnsi="Calibri" w:cs="Calibri" w:hint="eastAsia"/>
                <w:color w:val="000000"/>
                <w:kern w:val="0"/>
                <w:sz w:val="20"/>
                <w:szCs w:val="20"/>
              </w:rPr>
              <w:t>48</w:t>
            </w:r>
            <w:r>
              <w:rPr>
                <w:rFonts w:ascii="宋体" w:eastAsia="宋体" w:hAnsi="宋体" w:cs="宋体" w:hint="eastAsia"/>
                <w:color w:val="000000"/>
                <w:kern w:val="0"/>
                <w:sz w:val="20"/>
                <w:szCs w:val="20"/>
              </w:rPr>
              <w:t>小时内复通；当服务网点全部业务中断时，在</w:t>
            </w:r>
            <w:r>
              <w:rPr>
                <w:rFonts w:ascii="Calibri" w:eastAsia="宋体" w:hAnsi="Calibri" w:cs="Calibri"/>
                <w:color w:val="000000"/>
                <w:kern w:val="0"/>
                <w:sz w:val="20"/>
                <w:szCs w:val="20"/>
              </w:rPr>
              <w:t>12</w:t>
            </w:r>
            <w:r>
              <w:rPr>
                <w:rFonts w:ascii="宋体" w:eastAsia="宋体" w:hAnsi="宋体" w:cs="宋体" w:hint="eastAsia"/>
                <w:color w:val="000000"/>
                <w:kern w:val="0"/>
                <w:sz w:val="20"/>
                <w:szCs w:val="20"/>
              </w:rPr>
              <w:t>小时内复通。故障处理时间每超时一次，扣</w:t>
            </w:r>
            <w:r>
              <w:rPr>
                <w:rFonts w:ascii="Calibri" w:eastAsia="宋体" w:hAnsi="Calibri" w:cs="Calibri"/>
                <w:color w:val="000000"/>
                <w:kern w:val="0"/>
                <w:sz w:val="20"/>
                <w:szCs w:val="20"/>
              </w:rPr>
              <w:t>1</w:t>
            </w:r>
            <w:r>
              <w:rPr>
                <w:rFonts w:ascii="宋体" w:eastAsia="宋体" w:hAnsi="宋体" w:cs="宋体" w:hint="eastAsia"/>
                <w:color w:val="000000"/>
                <w:kern w:val="0"/>
                <w:sz w:val="20"/>
                <w:szCs w:val="20"/>
              </w:rPr>
              <w:t>分。</w:t>
            </w:r>
          </w:p>
        </w:tc>
        <w:tc>
          <w:tcPr>
            <w:tcW w:w="1657" w:type="pct"/>
            <w:tcBorders>
              <w:top w:val="nil"/>
              <w:left w:val="nil"/>
              <w:bottom w:val="nil"/>
              <w:right w:val="single" w:sz="4" w:space="0" w:color="auto"/>
            </w:tcBorders>
            <w:shd w:val="clear" w:color="auto" w:fill="auto"/>
            <w:vAlign w:val="center"/>
          </w:tcPr>
          <w:p w14:paraId="032DDE71"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根据系统记录的故障时间进行核查。</w:t>
            </w:r>
          </w:p>
        </w:tc>
      </w:tr>
      <w:tr w:rsidR="00F33985" w14:paraId="71D82665" w14:textId="77777777" w:rsidTr="00F33985">
        <w:trPr>
          <w:trHeight w:val="559"/>
        </w:trPr>
        <w:tc>
          <w:tcPr>
            <w:tcW w:w="401" w:type="pct"/>
            <w:tcBorders>
              <w:top w:val="nil"/>
              <w:left w:val="single" w:sz="4" w:space="0" w:color="auto"/>
              <w:bottom w:val="single" w:sz="4" w:space="0" w:color="auto"/>
              <w:right w:val="single" w:sz="4" w:space="0" w:color="auto"/>
            </w:tcBorders>
            <w:shd w:val="clear" w:color="auto" w:fill="auto"/>
            <w:vAlign w:val="center"/>
          </w:tcPr>
          <w:p w14:paraId="59922C70"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合计</w:t>
            </w:r>
          </w:p>
        </w:tc>
        <w:tc>
          <w:tcPr>
            <w:tcW w:w="750" w:type="pct"/>
            <w:tcBorders>
              <w:top w:val="single" w:sz="4" w:space="0" w:color="auto"/>
              <w:left w:val="nil"/>
              <w:bottom w:val="single" w:sz="4" w:space="0" w:color="auto"/>
              <w:right w:val="single" w:sz="4" w:space="0" w:color="auto"/>
            </w:tcBorders>
            <w:shd w:val="clear" w:color="auto" w:fill="auto"/>
            <w:vAlign w:val="center"/>
          </w:tcPr>
          <w:p w14:paraId="57BFB9E0"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100</w:t>
            </w:r>
          </w:p>
        </w:tc>
        <w:tc>
          <w:tcPr>
            <w:tcW w:w="2192" w:type="pct"/>
            <w:tcBorders>
              <w:top w:val="single" w:sz="4" w:space="0" w:color="auto"/>
              <w:left w:val="nil"/>
              <w:bottom w:val="single" w:sz="4" w:space="0" w:color="auto"/>
              <w:right w:val="single" w:sz="4" w:space="0" w:color="auto"/>
            </w:tcBorders>
            <w:shd w:val="clear" w:color="auto" w:fill="auto"/>
            <w:vAlign w:val="center"/>
          </w:tcPr>
          <w:p w14:paraId="714AA382"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w:t>
            </w:r>
          </w:p>
        </w:tc>
        <w:tc>
          <w:tcPr>
            <w:tcW w:w="1657" w:type="pct"/>
            <w:tcBorders>
              <w:top w:val="single" w:sz="4" w:space="0" w:color="auto"/>
              <w:left w:val="nil"/>
              <w:bottom w:val="single" w:sz="4" w:space="0" w:color="auto"/>
              <w:right w:val="single" w:sz="4" w:space="0" w:color="auto"/>
            </w:tcBorders>
            <w:shd w:val="clear" w:color="auto" w:fill="auto"/>
            <w:vAlign w:val="center"/>
          </w:tcPr>
          <w:p w14:paraId="576FA9F6" w14:textId="77777777" w:rsidR="00F33985" w:rsidRDefault="00F33985" w:rsidP="00D84C0C">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w:t>
            </w:r>
          </w:p>
        </w:tc>
      </w:tr>
    </w:tbl>
    <w:p w14:paraId="608BFE0A"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备注：按月进行考核均分。</w:t>
      </w:r>
    </w:p>
    <w:p w14:paraId="759DAAEF"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（1）月考核得分90分（含或以上）为优良达标，不扣除相应服务费；</w:t>
      </w:r>
    </w:p>
    <w:p w14:paraId="3CB382D8"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（2）月考核考核得分70(含)-90分(不含90分)的，每低1分扣除当月服务费用1%的对应费用:扣减费用计算如下:当月扣减费用=当月实际服务费用×扣除比例；</w:t>
      </w:r>
    </w:p>
    <w:p w14:paraId="4DAF6139"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（3）月考核考核得分70分(不含)以下，扣除当月服务费用30%的对应费用；</w:t>
      </w:r>
    </w:p>
    <w:p w14:paraId="7F5BD25E" w14:textId="5C31AFDB" w:rsidR="00C22389" w:rsidRDefault="00F33985" w:rsidP="00F33985">
      <w:pPr>
        <w:rPr>
          <w:rFonts w:ascii="宋体" w:eastAsia="宋体" w:hAnsi="宋体"/>
          <w:szCs w:val="21"/>
        </w:rPr>
      </w:pPr>
      <w:r w:rsidRPr="00F33985">
        <w:rPr>
          <w:rFonts w:ascii="宋体" w:eastAsia="宋体" w:hAnsi="宋体" w:hint="eastAsia"/>
          <w:szCs w:val="21"/>
        </w:rPr>
        <w:t>（4）连续2个月考核得分70分以下的，采购方有权解除合同，并无须向中标方支付任何补偿、赔偿。</w:t>
      </w:r>
    </w:p>
    <w:p w14:paraId="149D4F91" w14:textId="77777777" w:rsidR="00F33985" w:rsidRPr="00F33985" w:rsidRDefault="00F33985" w:rsidP="00F33985">
      <w:pPr>
        <w:rPr>
          <w:rFonts w:ascii="宋体" w:eastAsia="宋体" w:hAnsi="宋体" w:hint="eastAsia"/>
          <w:b/>
          <w:bCs/>
          <w:szCs w:val="21"/>
        </w:rPr>
      </w:pPr>
      <w:r w:rsidRPr="00F33985">
        <w:rPr>
          <w:rFonts w:ascii="宋体" w:eastAsia="宋体" w:hAnsi="宋体" w:hint="eastAsia"/>
          <w:b/>
          <w:bCs/>
          <w:szCs w:val="21"/>
        </w:rPr>
        <w:t>十三、保密要求</w:t>
      </w:r>
    </w:p>
    <w:p w14:paraId="7202390D"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运维单位必须严格遵守《中华人民共和国保守国家秘密法》等法律法规及公安机关保密管理相关规定，为明确危害数据与网络安全行为的处罚标准，现将违规行为与具体的扣分、罚款</w:t>
      </w:r>
      <w:r w:rsidRPr="00F33985">
        <w:rPr>
          <w:rFonts w:ascii="宋体" w:eastAsia="宋体" w:hAnsi="宋体" w:hint="eastAsia"/>
          <w:szCs w:val="21"/>
        </w:rPr>
        <w:lastRenderedPageBreak/>
        <w:t>措施结合规定如下：</w:t>
      </w:r>
    </w:p>
    <w:p w14:paraId="5A539D95"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（一）违规行为</w:t>
      </w:r>
    </w:p>
    <w:p w14:paraId="54D152B1"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1.发生泄露警务文件、信息、方案、规划、科技秘密；擅自记录、复制、拍摄国家秘密或警务工作秘密；打探、询问非授权信息；或未经许可擅自翻阅非工作相关文件资料等行为，按“首次违规”、“二次违规”、“三次违规”标准进行处罚。</w:t>
      </w:r>
    </w:p>
    <w:p w14:paraId="7D5E29E9"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2.发生包括但不限于网络“一机两用”、移动存储介质混用、越权访问、泄露警务数据、私自下载拷贝文件、泄露系统口令密钥、违规技术扫描、私设WIFI、擅自开放远程服务等任何网络安全违规行为，按“首次违规”、“二次违规”、“三次违规”标准进行处罚。</w:t>
      </w:r>
    </w:p>
    <w:p w14:paraId="207AD924"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3.发生擅自将外来计算机接入警务网络；违规使用办公计算机为外设充电；或在办公计算机上进行网络游戏、使用聊天工具、开设个人网站等与工作无关的活动，按“首次违规”、“二次违规”、“三次违规”标准进行处罚。</w:t>
      </w:r>
    </w:p>
    <w:p w14:paraId="23E8F98B"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4.在对外交流中发表涉密内容；擅自带领无关人员进入涉密场所；或实施其他违反公安安全管理制度的危害数据安全行为，按“首次违规”、“二次违规”、“三次违规”标准进行处罚</w:t>
      </w:r>
    </w:p>
    <w:p w14:paraId="3BBA1D91"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5.具体违规行为条款对应如下处罚：运维单位及人员发生以上行为，均视为单次违规事故，并依据累计违规次数，按如下标准进行处罚：</w:t>
      </w:r>
    </w:p>
    <w:p w14:paraId="6E0D15DF"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（二）首次违规</w:t>
      </w:r>
    </w:p>
    <w:p w14:paraId="070CEFD2"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1.扣分：扣除当月考核分5分（考核基础分为100分）。</w:t>
      </w:r>
    </w:p>
    <w:p w14:paraId="1658FCAB"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2.罚款：处以人民币1万元整的罚款，或按相关合同总金额的1%计罚，以两者中金额较高者为准</w:t>
      </w:r>
    </w:p>
    <w:p w14:paraId="6EE1FA7E"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（三）二次违规</w:t>
      </w:r>
    </w:p>
    <w:p w14:paraId="6E53B3D3"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1.扣分：扣除当月考核分10分。</w:t>
      </w:r>
    </w:p>
    <w:p w14:paraId="1C268FD4"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2.罚款：处以人民币3万元整的罚款，或按相关合同总金额的3%计罚，以两者中金额较高者为准</w:t>
      </w:r>
    </w:p>
    <w:p w14:paraId="0E687A55"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3.人员处理：违规直接责任人必须停职接受保密培训30天。</w:t>
      </w:r>
    </w:p>
    <w:p w14:paraId="5929B8D6"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（四）三次违规</w:t>
      </w:r>
    </w:p>
    <w:p w14:paraId="30A4DF28"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1.企业处理：将企业纳入合作黑名单，立即终止所有合作，并依法追偿因此造成的一切损失。</w:t>
      </w:r>
    </w:p>
    <w:p w14:paraId="4011CD36"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2.法律追究：如涉嫌违法犯罪，将把相关线索和证据移送司法机关依法处理。</w:t>
      </w:r>
    </w:p>
    <w:p w14:paraId="05FA55A1"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（五）保密责任与人员管理</w:t>
      </w:r>
    </w:p>
    <w:p w14:paraId="6FB3C020"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1.运维人员入职前必须签署《保密责任书》，其中明确约定，发生数据泄露等保密事故的单次最低赔偿额为人民币1万元。</w:t>
      </w:r>
    </w:p>
    <w:p w14:paraId="5DDE8622"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2.同一工作人员如累计发生2次违规事故，将永久取消其参与本公安任何项目的资格。其替换人员必须通过公安相关部门组织的网络安全考核，方可上岗。</w:t>
      </w:r>
    </w:p>
    <w:p w14:paraId="3CCC9F97"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3.运维公司必须每季度向公安提交所有相关人员的保密培训记录及考核证明。未能按时提交或考核未达标的，公安将暂停该企业的合作资格。</w:t>
      </w:r>
    </w:p>
    <w:p w14:paraId="11134A83" w14:textId="77777777" w:rsidR="00F33985" w:rsidRPr="00F33985" w:rsidRDefault="00F33985" w:rsidP="00F33985">
      <w:pPr>
        <w:rPr>
          <w:rFonts w:ascii="宋体" w:eastAsia="宋体" w:hAnsi="宋体" w:hint="eastAsia"/>
          <w:szCs w:val="21"/>
        </w:rPr>
      </w:pPr>
      <w:r w:rsidRPr="00F33985">
        <w:rPr>
          <w:rFonts w:ascii="宋体" w:eastAsia="宋体" w:hAnsi="宋体" w:hint="eastAsia"/>
          <w:szCs w:val="21"/>
        </w:rPr>
        <w:t>（六）法律追责</w:t>
      </w:r>
    </w:p>
    <w:p w14:paraId="6ED5FFC5" w14:textId="2C1E3139" w:rsidR="00C22389" w:rsidRDefault="00F33985" w:rsidP="00F33985">
      <w:pPr>
        <w:rPr>
          <w:rFonts w:ascii="宋体" w:eastAsia="宋体" w:hAnsi="宋体"/>
          <w:szCs w:val="21"/>
        </w:rPr>
      </w:pPr>
      <w:r w:rsidRPr="00F33985">
        <w:rPr>
          <w:rFonts w:ascii="宋体" w:eastAsia="宋体" w:hAnsi="宋体" w:hint="eastAsia"/>
          <w:szCs w:val="21"/>
        </w:rPr>
        <w:t>上述任何违规行为，如同时构成对《中华人民共和国保守国家秘密法》、《中华人民共和国网络安全法》等国家法律法规的违反，公安将在执行本警务处罚的同时，依法报请有关主管机关追究运维单位及直接责任人的行政或刑事责任。</w:t>
      </w:r>
    </w:p>
    <w:p w14:paraId="4AC57BCB" w14:textId="77777777" w:rsidR="00F33985" w:rsidRDefault="00F33985" w:rsidP="00F33985">
      <w:pPr>
        <w:pStyle w:val="null3"/>
        <w:rPr>
          <w:rFonts w:ascii="宋体" w:eastAsia="宋体" w:hAnsi="宋体"/>
          <w:sz w:val="21"/>
          <w:szCs w:val="21"/>
        </w:rPr>
      </w:pPr>
      <w:r>
        <w:rPr>
          <w:rFonts w:ascii="宋体" w:eastAsia="宋体" w:hAnsi="宋体"/>
          <w:b/>
          <w:sz w:val="21"/>
          <w:szCs w:val="21"/>
        </w:rPr>
        <w:t>十</w:t>
      </w:r>
      <w:r>
        <w:rPr>
          <w:rFonts w:ascii="宋体" w:eastAsia="宋体" w:hAnsi="宋体"/>
          <w:b/>
          <w:sz w:val="21"/>
          <w:szCs w:val="21"/>
          <w:lang w:eastAsia="zh-CN"/>
        </w:rPr>
        <w:t>四</w:t>
      </w:r>
      <w:r>
        <w:rPr>
          <w:rFonts w:ascii="宋体" w:eastAsia="宋体" w:hAnsi="宋体"/>
          <w:b/>
          <w:sz w:val="21"/>
          <w:szCs w:val="21"/>
        </w:rPr>
        <w:t>、违约责任</w:t>
      </w:r>
    </w:p>
    <w:p w14:paraId="0B21E79F" w14:textId="152B091E" w:rsidR="00C22389" w:rsidRDefault="00F33985" w:rsidP="00F33985">
      <w:pPr>
        <w:rPr>
          <w:rFonts w:ascii="宋体" w:eastAsia="宋体" w:hAnsi="宋体"/>
          <w:szCs w:val="21"/>
        </w:rPr>
      </w:pPr>
      <w:r>
        <w:rPr>
          <w:rFonts w:ascii="宋体" w:eastAsia="宋体" w:hAnsi="宋体"/>
          <w:szCs w:val="21"/>
        </w:rPr>
        <w:t>因中标人原因，导致部分点位出现故障无法按时修复，采购人可停止故障点位的运维服务，对于故障期间造成采购人的损失由中标人承担。</w:t>
      </w:r>
    </w:p>
    <w:p w14:paraId="0112C566" w14:textId="77777777" w:rsidR="00C22389" w:rsidRDefault="00C22389" w:rsidP="00C22389">
      <w:pPr>
        <w:rPr>
          <w:rFonts w:ascii="宋体" w:eastAsia="宋体" w:hAnsi="宋体"/>
          <w:szCs w:val="21"/>
        </w:rPr>
      </w:pPr>
    </w:p>
    <w:p w14:paraId="479FA613" w14:textId="77777777" w:rsidR="00C22389" w:rsidRDefault="00C22389" w:rsidP="00C22389">
      <w:pPr>
        <w:rPr>
          <w:rFonts w:ascii="宋体" w:eastAsia="宋体" w:hAnsi="宋体"/>
          <w:szCs w:val="21"/>
        </w:rPr>
      </w:pPr>
    </w:p>
    <w:p w14:paraId="377E12B7" w14:textId="77777777" w:rsidR="00C22389" w:rsidRDefault="00C22389" w:rsidP="00C22389">
      <w:pPr>
        <w:rPr>
          <w:rFonts w:ascii="宋体" w:eastAsia="宋体" w:hAnsi="宋体"/>
          <w:szCs w:val="21"/>
        </w:rPr>
      </w:pPr>
    </w:p>
    <w:p w14:paraId="045F42BE" w14:textId="77777777" w:rsidR="00C22389" w:rsidRDefault="00C22389" w:rsidP="00C22389">
      <w:pPr>
        <w:rPr>
          <w:rFonts w:ascii="宋体" w:eastAsia="宋体" w:hAnsi="宋体"/>
          <w:szCs w:val="21"/>
        </w:rPr>
      </w:pPr>
    </w:p>
    <w:p w14:paraId="1804B873" w14:textId="77777777" w:rsidR="00C22389" w:rsidRDefault="00C22389" w:rsidP="00C22389">
      <w:pPr>
        <w:rPr>
          <w:rFonts w:ascii="宋体" w:eastAsia="宋体" w:hAnsi="宋体"/>
          <w:szCs w:val="21"/>
        </w:rPr>
      </w:pPr>
    </w:p>
    <w:p w14:paraId="05A69E2B" w14:textId="77777777" w:rsidR="00C22389" w:rsidRDefault="00C22389" w:rsidP="00C22389">
      <w:pPr>
        <w:rPr>
          <w:rFonts w:ascii="宋体" w:eastAsia="宋体" w:hAnsi="宋体"/>
          <w:szCs w:val="21"/>
        </w:rPr>
      </w:pPr>
    </w:p>
    <w:p w14:paraId="1E3181CA" w14:textId="77777777" w:rsidR="00C22389" w:rsidRDefault="00C22389" w:rsidP="00C22389">
      <w:pPr>
        <w:rPr>
          <w:rFonts w:hint="eastAsia"/>
        </w:rPr>
      </w:pPr>
    </w:p>
    <w:sectPr w:rsidR="00C2238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65FF49A"/>
    <w:multiLevelType w:val="multilevel"/>
    <w:tmpl w:val="626C568C"/>
    <w:lvl w:ilvl="0">
      <w:start w:val="1"/>
      <w:numFmt w:val="chineseCounting"/>
      <w:pStyle w:val="1"/>
      <w:lvlText w:val="%1、"/>
      <w:lvlJc w:val="left"/>
      <w:pPr>
        <w:tabs>
          <w:tab w:val="num" w:pos="0"/>
        </w:tabs>
        <w:ind w:left="0" w:firstLine="0"/>
      </w:pPr>
      <w:rPr>
        <w:rFonts w:ascii="宋体" w:eastAsia="宋体" w:hAnsi="宋体" w:cs="宋体" w:hint="eastAsia"/>
      </w:rPr>
    </w:lvl>
    <w:lvl w:ilvl="1">
      <w:start w:val="10"/>
      <w:numFmt w:val="decimal"/>
      <w:isLgl/>
      <w:lvlText w:val="%1.%2"/>
      <w:lvlJc w:val="left"/>
      <w:pPr>
        <w:ind w:left="575" w:hanging="575"/>
      </w:pPr>
      <w:rPr>
        <w:rFonts w:ascii="宋体" w:eastAsia="宋体" w:hAnsi="宋体" w:cs="宋体" w:hint="eastAsia"/>
      </w:rPr>
    </w:lvl>
    <w:lvl w:ilvl="2">
      <w:start w:val="1"/>
      <w:numFmt w:val="decimal"/>
      <w:isLgl/>
      <w:lvlText w:val="%1.%2.%3"/>
      <w:lvlJc w:val="left"/>
      <w:pPr>
        <w:ind w:left="720" w:hanging="720"/>
      </w:pPr>
      <w:rPr>
        <w:rFonts w:ascii="宋体" w:eastAsia="宋体" w:hAnsi="宋体" w:cs="宋体" w:hint="eastAsia"/>
      </w:rPr>
    </w:lvl>
    <w:lvl w:ilvl="3">
      <w:start w:val="1"/>
      <w:numFmt w:val="decimal"/>
      <w:isLgl/>
      <w:lvlText w:val="%1.%2.%3.%4"/>
      <w:lvlJc w:val="left"/>
      <w:pPr>
        <w:ind w:left="864" w:hanging="864"/>
      </w:pPr>
      <w:rPr>
        <w:rFonts w:ascii="宋体" w:eastAsia="宋体" w:hAnsi="宋体" w:cs="宋体" w:hint="eastAsia"/>
      </w:rPr>
    </w:lvl>
    <w:lvl w:ilvl="4">
      <w:start w:val="1"/>
      <w:numFmt w:val="decimal"/>
      <w:isLgl/>
      <w:lvlText w:val="%1.%2.%3.%4.%5"/>
      <w:lvlJc w:val="left"/>
      <w:pPr>
        <w:ind w:left="1008" w:hanging="1008"/>
      </w:pPr>
      <w:rPr>
        <w:rFonts w:ascii="宋体" w:eastAsia="宋体" w:hAnsi="宋体" w:cs="宋体" w:hint="eastAsia"/>
      </w:rPr>
    </w:lvl>
    <w:lvl w:ilvl="5">
      <w:start w:val="1"/>
      <w:numFmt w:val="decimal"/>
      <w:isLgl/>
      <w:lvlText w:val="%1.%2.%3.%4.%5.%6"/>
      <w:lvlJc w:val="left"/>
      <w:pPr>
        <w:ind w:left="1151" w:hanging="1151"/>
      </w:pPr>
      <w:rPr>
        <w:rFonts w:ascii="宋体" w:eastAsia="宋体" w:hAnsi="宋体" w:cs="宋体"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3" w:hanging="1583"/>
      </w:pPr>
      <w:rPr>
        <w:rFonts w:hint="eastAsia"/>
      </w:rPr>
    </w:lvl>
  </w:abstractNum>
  <w:num w:numId="1" w16cid:durableId="419254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389"/>
    <w:rsid w:val="00005CE6"/>
    <w:rsid w:val="004D5BFB"/>
    <w:rsid w:val="005C5FF9"/>
    <w:rsid w:val="00B73DC8"/>
    <w:rsid w:val="00C22389"/>
    <w:rsid w:val="00F019B0"/>
    <w:rsid w:val="00F15C40"/>
    <w:rsid w:val="00F339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D5797"/>
  <w15:chartTrackingRefBased/>
  <w15:docId w15:val="{5EB4EE93-76A0-4096-801A-DD519B607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2389"/>
    <w:pPr>
      <w:widowControl w:val="0"/>
      <w:jc w:val="both"/>
    </w:pPr>
    <w:rPr>
      <w:szCs w:val="24"/>
    </w:rPr>
  </w:style>
  <w:style w:type="paragraph" w:styleId="1">
    <w:name w:val="heading 1"/>
    <w:basedOn w:val="a"/>
    <w:next w:val="a"/>
    <w:link w:val="10"/>
    <w:autoRedefine/>
    <w:qFormat/>
    <w:rsid w:val="00005CE6"/>
    <w:pPr>
      <w:keepNext/>
      <w:keepLines/>
      <w:numPr>
        <w:numId w:val="1"/>
      </w:numPr>
      <w:spacing w:before="10" w:after="10" w:line="480" w:lineRule="auto"/>
      <w:jc w:val="left"/>
      <w:outlineLvl w:val="0"/>
    </w:pPr>
    <w:rPr>
      <w:rFonts w:eastAsia="宋体"/>
      <w:b/>
      <w:kern w:val="44"/>
      <w:sz w:val="30"/>
      <w:szCs w:val="22"/>
    </w:rPr>
  </w:style>
  <w:style w:type="paragraph" w:styleId="2">
    <w:name w:val="heading 2"/>
    <w:basedOn w:val="a"/>
    <w:next w:val="a"/>
    <w:link w:val="20"/>
    <w:uiPriority w:val="9"/>
    <w:semiHidden/>
    <w:unhideWhenUsed/>
    <w:qFormat/>
    <w:rsid w:val="00C2238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2238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2238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22389"/>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C22389"/>
    <w:pPr>
      <w:keepNext/>
      <w:keepLines/>
      <w:spacing w:before="40"/>
      <w:outlineLvl w:val="5"/>
    </w:pPr>
    <w:rPr>
      <w:rFonts w:cstheme="majorBidi"/>
      <w:b/>
      <w:bCs/>
      <w:color w:val="0F4761" w:themeColor="accent1" w:themeShade="BF"/>
      <w:szCs w:val="22"/>
    </w:rPr>
  </w:style>
  <w:style w:type="paragraph" w:styleId="7">
    <w:name w:val="heading 7"/>
    <w:basedOn w:val="a"/>
    <w:next w:val="a"/>
    <w:link w:val="70"/>
    <w:uiPriority w:val="9"/>
    <w:semiHidden/>
    <w:unhideWhenUsed/>
    <w:qFormat/>
    <w:rsid w:val="00C22389"/>
    <w:pPr>
      <w:keepNext/>
      <w:keepLines/>
      <w:spacing w:before="40"/>
      <w:outlineLvl w:val="6"/>
    </w:pPr>
    <w:rPr>
      <w:rFonts w:cstheme="majorBidi"/>
      <w:b/>
      <w:bCs/>
      <w:color w:val="595959" w:themeColor="text1" w:themeTint="A6"/>
      <w:szCs w:val="22"/>
    </w:rPr>
  </w:style>
  <w:style w:type="paragraph" w:styleId="8">
    <w:name w:val="heading 8"/>
    <w:basedOn w:val="a"/>
    <w:next w:val="a"/>
    <w:link w:val="80"/>
    <w:uiPriority w:val="9"/>
    <w:semiHidden/>
    <w:unhideWhenUsed/>
    <w:qFormat/>
    <w:rsid w:val="00C22389"/>
    <w:pPr>
      <w:keepNext/>
      <w:keepLines/>
      <w:outlineLvl w:val="7"/>
    </w:pPr>
    <w:rPr>
      <w:rFonts w:cstheme="majorBidi"/>
      <w:color w:val="595959" w:themeColor="text1" w:themeTint="A6"/>
      <w:szCs w:val="22"/>
    </w:rPr>
  </w:style>
  <w:style w:type="paragraph" w:styleId="9">
    <w:name w:val="heading 9"/>
    <w:basedOn w:val="a"/>
    <w:next w:val="a"/>
    <w:link w:val="90"/>
    <w:uiPriority w:val="9"/>
    <w:semiHidden/>
    <w:unhideWhenUsed/>
    <w:qFormat/>
    <w:rsid w:val="00C22389"/>
    <w:pPr>
      <w:keepNext/>
      <w:keepLines/>
      <w:outlineLvl w:val="8"/>
    </w:pPr>
    <w:rPr>
      <w:rFonts w:eastAsiaTheme="majorEastAsia"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005CE6"/>
    <w:rPr>
      <w:rFonts w:eastAsia="宋体"/>
      <w:b/>
      <w:kern w:val="44"/>
      <w:sz w:val="30"/>
    </w:rPr>
  </w:style>
  <w:style w:type="character" w:customStyle="1" w:styleId="20">
    <w:name w:val="标题 2 字符"/>
    <w:basedOn w:val="a0"/>
    <w:link w:val="2"/>
    <w:uiPriority w:val="9"/>
    <w:semiHidden/>
    <w:rsid w:val="00C2238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2238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22389"/>
    <w:rPr>
      <w:rFonts w:cstheme="majorBidi"/>
      <w:color w:val="0F4761" w:themeColor="accent1" w:themeShade="BF"/>
      <w:sz w:val="28"/>
      <w:szCs w:val="28"/>
    </w:rPr>
  </w:style>
  <w:style w:type="character" w:customStyle="1" w:styleId="50">
    <w:name w:val="标题 5 字符"/>
    <w:basedOn w:val="a0"/>
    <w:link w:val="5"/>
    <w:uiPriority w:val="9"/>
    <w:semiHidden/>
    <w:rsid w:val="00C22389"/>
    <w:rPr>
      <w:rFonts w:cstheme="majorBidi"/>
      <w:color w:val="0F4761" w:themeColor="accent1" w:themeShade="BF"/>
      <w:sz w:val="24"/>
      <w:szCs w:val="24"/>
    </w:rPr>
  </w:style>
  <w:style w:type="character" w:customStyle="1" w:styleId="60">
    <w:name w:val="标题 6 字符"/>
    <w:basedOn w:val="a0"/>
    <w:link w:val="6"/>
    <w:uiPriority w:val="9"/>
    <w:semiHidden/>
    <w:rsid w:val="00C22389"/>
    <w:rPr>
      <w:rFonts w:cstheme="majorBidi"/>
      <w:b/>
      <w:bCs/>
      <w:color w:val="0F4761" w:themeColor="accent1" w:themeShade="BF"/>
    </w:rPr>
  </w:style>
  <w:style w:type="character" w:customStyle="1" w:styleId="70">
    <w:name w:val="标题 7 字符"/>
    <w:basedOn w:val="a0"/>
    <w:link w:val="7"/>
    <w:uiPriority w:val="9"/>
    <w:semiHidden/>
    <w:rsid w:val="00C22389"/>
    <w:rPr>
      <w:rFonts w:cstheme="majorBidi"/>
      <w:b/>
      <w:bCs/>
      <w:color w:val="595959" w:themeColor="text1" w:themeTint="A6"/>
    </w:rPr>
  </w:style>
  <w:style w:type="character" w:customStyle="1" w:styleId="80">
    <w:name w:val="标题 8 字符"/>
    <w:basedOn w:val="a0"/>
    <w:link w:val="8"/>
    <w:uiPriority w:val="9"/>
    <w:semiHidden/>
    <w:rsid w:val="00C22389"/>
    <w:rPr>
      <w:rFonts w:cstheme="majorBidi"/>
      <w:color w:val="595959" w:themeColor="text1" w:themeTint="A6"/>
    </w:rPr>
  </w:style>
  <w:style w:type="character" w:customStyle="1" w:styleId="90">
    <w:name w:val="标题 9 字符"/>
    <w:basedOn w:val="a0"/>
    <w:link w:val="9"/>
    <w:uiPriority w:val="9"/>
    <w:semiHidden/>
    <w:rsid w:val="00C22389"/>
    <w:rPr>
      <w:rFonts w:eastAsiaTheme="majorEastAsia" w:cstheme="majorBidi"/>
      <w:color w:val="595959" w:themeColor="text1" w:themeTint="A6"/>
    </w:rPr>
  </w:style>
  <w:style w:type="paragraph" w:styleId="a3">
    <w:name w:val="Title"/>
    <w:basedOn w:val="a"/>
    <w:next w:val="a"/>
    <w:link w:val="a4"/>
    <w:uiPriority w:val="10"/>
    <w:qFormat/>
    <w:rsid w:val="00C2238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223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238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2238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22389"/>
    <w:pPr>
      <w:spacing w:before="160" w:after="160"/>
      <w:jc w:val="center"/>
    </w:pPr>
    <w:rPr>
      <w:i/>
      <w:iCs/>
      <w:color w:val="404040" w:themeColor="text1" w:themeTint="BF"/>
      <w:szCs w:val="22"/>
    </w:rPr>
  </w:style>
  <w:style w:type="character" w:customStyle="1" w:styleId="a8">
    <w:name w:val="引用 字符"/>
    <w:basedOn w:val="a0"/>
    <w:link w:val="a7"/>
    <w:uiPriority w:val="29"/>
    <w:rsid w:val="00C22389"/>
    <w:rPr>
      <w:i/>
      <w:iCs/>
      <w:color w:val="404040" w:themeColor="text1" w:themeTint="BF"/>
    </w:rPr>
  </w:style>
  <w:style w:type="paragraph" w:styleId="a9">
    <w:name w:val="List Paragraph"/>
    <w:basedOn w:val="a"/>
    <w:uiPriority w:val="34"/>
    <w:qFormat/>
    <w:rsid w:val="00C22389"/>
    <w:pPr>
      <w:ind w:left="720"/>
      <w:contextualSpacing/>
    </w:pPr>
    <w:rPr>
      <w:szCs w:val="22"/>
    </w:rPr>
  </w:style>
  <w:style w:type="character" w:styleId="aa">
    <w:name w:val="Intense Emphasis"/>
    <w:basedOn w:val="a0"/>
    <w:uiPriority w:val="21"/>
    <w:qFormat/>
    <w:rsid w:val="00C22389"/>
    <w:rPr>
      <w:i/>
      <w:iCs/>
      <w:color w:val="0F4761" w:themeColor="accent1" w:themeShade="BF"/>
    </w:rPr>
  </w:style>
  <w:style w:type="paragraph" w:styleId="ab">
    <w:name w:val="Intense Quote"/>
    <w:basedOn w:val="a"/>
    <w:next w:val="a"/>
    <w:link w:val="ac"/>
    <w:uiPriority w:val="30"/>
    <w:qFormat/>
    <w:rsid w:val="00C223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2"/>
    </w:rPr>
  </w:style>
  <w:style w:type="character" w:customStyle="1" w:styleId="ac">
    <w:name w:val="明显引用 字符"/>
    <w:basedOn w:val="a0"/>
    <w:link w:val="ab"/>
    <w:uiPriority w:val="30"/>
    <w:rsid w:val="00C22389"/>
    <w:rPr>
      <w:i/>
      <w:iCs/>
      <w:color w:val="0F4761" w:themeColor="accent1" w:themeShade="BF"/>
    </w:rPr>
  </w:style>
  <w:style w:type="character" w:styleId="ad">
    <w:name w:val="Intense Reference"/>
    <w:basedOn w:val="a0"/>
    <w:uiPriority w:val="32"/>
    <w:qFormat/>
    <w:rsid w:val="00C22389"/>
    <w:rPr>
      <w:b/>
      <w:bCs/>
      <w:smallCaps/>
      <w:color w:val="0F4761" w:themeColor="accent1" w:themeShade="BF"/>
      <w:spacing w:val="5"/>
    </w:rPr>
  </w:style>
  <w:style w:type="paragraph" w:customStyle="1" w:styleId="null3">
    <w:name w:val="null3"/>
    <w:hidden/>
    <w:qFormat/>
    <w:rsid w:val="00C22389"/>
    <w:rPr>
      <w:rFonts w:hint="eastAsia"/>
      <w:kern w:val="0"/>
      <w:sz w:val="20"/>
      <w:szCs w:val="20"/>
      <w:lang w:eastAsia="zh-H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920</Words>
  <Characters>5250</Characters>
  <Application>Microsoft Office Word</Application>
  <DocSecurity>0</DocSecurity>
  <Lines>43</Lines>
  <Paragraphs>12</Paragraphs>
  <ScaleCrop>false</ScaleCrop>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Luoshunhu</dc:creator>
  <cp:keywords/>
  <dc:description/>
  <cp:lastModifiedBy>Luoshunhu</cp:lastModifiedBy>
  <cp:revision>4</cp:revision>
  <dcterms:created xsi:type="dcterms:W3CDTF">2026-09-03T09:13:00Z</dcterms:created>
  <dcterms:modified xsi:type="dcterms:W3CDTF">2026-09-03T09:20:00Z</dcterms:modified>
</cp:coreProperties>
</file>